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A2FBF">
      <w:pPr>
        <w:spacing w:before="1600" w:after="0" w:line="240" w:lineRule="auto"/>
      </w:pPr>
    </w:p>
    <w:p w14:paraId="3C66772C">
      <w:pPr>
        <w:spacing w:after="120" w:line="240" w:lineRule="auto"/>
        <w:jc w:val="center"/>
      </w:pPr>
      <w:r>
        <w:rPr>
          <w:rFonts w:ascii="Calibri" w:hAnsi="Calibri" w:eastAsia="黑体"/>
          <w:color w:val="A8A8A8"/>
          <w:sz w:val="28"/>
        </w:rPr>
        <w:t>TAIWAN SEMICONDUCTOR MANUFACTURING COMPANY</w:t>
      </w:r>
    </w:p>
    <w:p w14:paraId="41F6A315">
      <w:pPr>
        <w:spacing w:after="240" w:line="240" w:lineRule="auto"/>
        <w:jc w:val="center"/>
      </w:pPr>
      <w:r>
        <w:rPr>
          <w:rFonts w:ascii="Calibri" w:hAnsi="Calibri" w:eastAsia="黑体"/>
          <w:color w:val="A8A8A8"/>
        </w:rPr>
        <w:t>TWSE: 2330</w:t>
      </w:r>
    </w:p>
    <w:p w14:paraId="2DDB3D23">
      <w:pPr>
        <w:spacing w:before="600" w:after="240" w:line="240" w:lineRule="auto"/>
        <w:jc w:val="center"/>
      </w:pPr>
      <w:r>
        <w:rPr>
          <w:rFonts w:ascii="Calibri" w:hAnsi="Calibri" w:eastAsia="黑体"/>
          <w:b/>
          <w:color w:val="3D405B"/>
          <w:sz w:val="52"/>
        </w:rPr>
        <w:t>EQUITY RESEARCH REPORT</w:t>
      </w:r>
    </w:p>
    <w:p w14:paraId="4EC53FC1">
      <w:pPr>
        <w:spacing w:after="600" w:line="240" w:lineRule="auto"/>
        <w:jc w:val="center"/>
      </w:pPr>
      <w:r>
        <w:rPr>
          <w:rFonts w:ascii="Calibri" w:hAnsi="Calibri" w:eastAsia="黑体"/>
          <w:color w:val="81B29A"/>
          <w:sz w:val="36"/>
        </w:rPr>
        <w:t>Initiating Coverage</w:t>
      </w:r>
    </w:p>
    <w:p w14:paraId="002BB95E">
      <w:pPr>
        <w:spacing w:before="800" w:after="0" w:line="240" w:lineRule="auto"/>
      </w:pPr>
    </w:p>
    <w:tbl>
      <w:tblPr>
        <w:tblStyle w:val="3"/>
        <w:tblW w:w="4000" w:type="pct"/>
        <w:jc w:val="center"/>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Layout w:type="autofit"/>
        <w:tblCellMar>
          <w:top w:w="0" w:type="dxa"/>
          <w:left w:w="10" w:type="dxa"/>
          <w:bottom w:w="0" w:type="dxa"/>
          <w:right w:w="10" w:type="dxa"/>
        </w:tblCellMar>
      </w:tblPr>
      <w:tblGrid>
        <w:gridCol w:w="6661"/>
      </w:tblGrid>
      <w:tr w14:paraId="5C20EE82">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2872EDFE">
            <w:pPr>
              <w:spacing w:before="40" w:after="40" w:line="240" w:lineRule="auto"/>
            </w:pPr>
            <w:r>
              <w:rPr>
                <w:rFonts w:ascii="Calibri" w:hAnsi="Calibri" w:eastAsia="黑体"/>
                <w:b/>
                <w:color w:val="1A1A2E"/>
                <w:sz w:val="19"/>
              </w:rPr>
              <w:t>Net Revenue</w:t>
            </w:r>
            <w:r>
              <w:rPr>
                <w:rFonts w:ascii="Calibri" w:hAnsi="Calibri" w:eastAsia="黑体"/>
                <w:color w:val="1A1A2E"/>
                <w:sz w:val="19"/>
              </w:rPr>
              <w:t xml:space="preserve">  NT$3,809.1B</w:t>
            </w:r>
          </w:p>
        </w:tc>
      </w:tr>
      <w:tr w14:paraId="7B338EE1">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766AD328">
            <w:pPr>
              <w:spacing w:before="40" w:after="40" w:line="240" w:lineRule="auto"/>
            </w:pPr>
            <w:r>
              <w:rPr>
                <w:rFonts w:ascii="Calibri" w:hAnsi="Calibri" w:eastAsia="黑体"/>
                <w:b/>
                <w:color w:val="1A1A2E"/>
                <w:sz w:val="19"/>
              </w:rPr>
              <w:t>Revenue Growth</w:t>
            </w:r>
            <w:r>
              <w:rPr>
                <w:rFonts w:ascii="Calibri" w:hAnsi="Calibri" w:eastAsia="黑体"/>
                <w:color w:val="1A1A2E"/>
                <w:sz w:val="19"/>
              </w:rPr>
              <w:t xml:space="preserve">  31.6% YoY</w:t>
            </w:r>
          </w:p>
        </w:tc>
      </w:tr>
      <w:tr w14:paraId="241D50E8">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03FD366B">
            <w:pPr>
              <w:spacing w:before="40" w:after="40" w:line="240" w:lineRule="auto"/>
            </w:pPr>
            <w:r>
              <w:rPr>
                <w:rFonts w:ascii="Calibri" w:hAnsi="Calibri" w:eastAsia="黑体"/>
                <w:b/>
                <w:color w:val="1A1A2E"/>
                <w:sz w:val="19"/>
              </w:rPr>
              <w:t>Gross Margin</w:t>
            </w:r>
            <w:r>
              <w:rPr>
                <w:rFonts w:ascii="Calibri" w:hAnsi="Calibri" w:eastAsia="黑体"/>
                <w:color w:val="1A1A2E"/>
                <w:sz w:val="19"/>
              </w:rPr>
              <w:t xml:space="preserve">  59.9%</w:t>
            </w:r>
          </w:p>
        </w:tc>
      </w:tr>
      <w:tr w14:paraId="3B531388">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13B5AA4D">
            <w:pPr>
              <w:spacing w:before="40" w:after="40" w:line="240" w:lineRule="auto"/>
            </w:pPr>
            <w:r>
              <w:rPr>
                <w:rFonts w:ascii="Calibri" w:hAnsi="Calibri" w:eastAsia="黑体"/>
                <w:b/>
                <w:color w:val="1A1A2E"/>
                <w:sz w:val="19"/>
              </w:rPr>
              <w:t>Net Income</w:t>
            </w:r>
            <w:r>
              <w:rPr>
                <w:rFonts w:ascii="Calibri" w:hAnsi="Calibri" w:eastAsia="黑体"/>
                <w:color w:val="1A1A2E"/>
                <w:sz w:val="19"/>
              </w:rPr>
              <w:t xml:space="preserve">  NT$1,715.4B</w:t>
            </w:r>
          </w:p>
        </w:tc>
      </w:tr>
      <w:tr w14:paraId="781ADFDD">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7D210DC9">
            <w:pPr>
              <w:spacing w:before="40" w:after="40" w:line="240" w:lineRule="auto"/>
            </w:pPr>
            <w:r>
              <w:rPr>
                <w:rFonts w:ascii="Calibri" w:hAnsi="Calibri" w:eastAsia="黑体"/>
                <w:b/>
                <w:color w:val="1A1A2E"/>
                <w:sz w:val="19"/>
              </w:rPr>
              <w:t>HPC % of Revenue</w:t>
            </w:r>
            <w:r>
              <w:rPr>
                <w:rFonts w:ascii="Calibri" w:hAnsi="Calibri" w:eastAsia="黑体"/>
                <w:color w:val="1A1A2E"/>
                <w:sz w:val="19"/>
              </w:rPr>
              <w:t xml:space="preserve">  57.6%</w:t>
            </w:r>
          </w:p>
        </w:tc>
      </w:tr>
      <w:tr w14:paraId="5422776C">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3A0B0743">
            <w:pPr>
              <w:spacing w:before="40" w:after="40" w:line="240" w:lineRule="auto"/>
            </w:pPr>
            <w:r>
              <w:rPr>
                <w:rFonts w:ascii="Calibri" w:hAnsi="Calibri" w:eastAsia="黑体"/>
                <w:b/>
                <w:color w:val="1A1A2E"/>
                <w:sz w:val="19"/>
              </w:rPr>
              <w:t>Smartphone %</w:t>
            </w:r>
            <w:r>
              <w:rPr>
                <w:rFonts w:ascii="Calibri" w:hAnsi="Calibri" w:eastAsia="黑体"/>
                <w:color w:val="1A1A2E"/>
                <w:sz w:val="19"/>
              </w:rPr>
              <w:t xml:space="preserve">  29.2%</w:t>
            </w:r>
          </w:p>
        </w:tc>
      </w:tr>
      <w:tr w14:paraId="0C864DF8">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494C3B28">
            <w:pPr>
              <w:spacing w:before="40" w:after="40" w:line="240" w:lineRule="auto"/>
            </w:pPr>
            <w:r>
              <w:rPr>
                <w:rFonts w:ascii="Calibri" w:hAnsi="Calibri" w:eastAsia="黑体"/>
                <w:b/>
                <w:color w:val="1A1A2E"/>
                <w:sz w:val="19"/>
              </w:rPr>
              <w:t>Advanced (≤7nm)</w:t>
            </w:r>
            <w:r>
              <w:rPr>
                <w:rFonts w:ascii="Calibri" w:hAnsi="Calibri" w:eastAsia="黑体"/>
                <w:color w:val="1A1A2E"/>
                <w:sz w:val="19"/>
              </w:rPr>
              <w:t xml:space="preserve">  74.4%</w:t>
            </w:r>
          </w:p>
        </w:tc>
      </w:tr>
      <w:tr w14:paraId="51091FD7">
        <w:tblPrEx>
          <w:tblBorders>
            <w:top w:val="single" w:color="E0E0E0" w:sz="8" w:space="0"/>
            <w:left w:val="single" w:color="E0E0E0" w:sz="4" w:space="0"/>
            <w:bottom w:val="single" w:color="E0E0E0" w:sz="8" w:space="0"/>
            <w:right w:val="single" w:color="E0E0E0" w:sz="4" w:space="0"/>
            <w:insideH w:val="single" w:color="E0E0E0" w:sz="4" w:space="0"/>
            <w:insideV w:val="single" w:color="E0E0E0" w:sz="4" w:space="0"/>
          </w:tblBorders>
          <w:tblCellMar>
            <w:top w:w="0" w:type="dxa"/>
            <w:left w:w="10" w:type="dxa"/>
            <w:bottom w:w="0" w:type="dxa"/>
            <w:right w:w="10" w:type="dxa"/>
          </w:tblCellMar>
        </w:tblPrEx>
        <w:trPr>
          <w:jc w:val="center"/>
        </w:trPr>
        <w:tc>
          <w:tcPr>
            <w:tcW w:w="2000" w:type="pct"/>
            <w:vAlign w:val="center"/>
          </w:tcPr>
          <w:p w14:paraId="1769CDCE">
            <w:pPr>
              <w:spacing w:before="40" w:after="40" w:line="240" w:lineRule="auto"/>
            </w:pPr>
            <w:r>
              <w:rPr>
                <w:rFonts w:ascii="Calibri" w:hAnsi="Calibri" w:eastAsia="黑体"/>
                <w:b/>
                <w:color w:val="1A1A2E"/>
                <w:sz w:val="19"/>
              </w:rPr>
              <w:t>Basic EPS</w:t>
            </w:r>
            <w:r>
              <w:rPr>
                <w:rFonts w:ascii="Calibri" w:hAnsi="Calibri" w:eastAsia="黑体"/>
                <w:color w:val="1A1A2E"/>
                <w:sz w:val="19"/>
              </w:rPr>
              <w:t xml:space="preserve">  NT$66.26</w:t>
            </w:r>
          </w:p>
        </w:tc>
      </w:tr>
    </w:tbl>
    <w:p w14:paraId="66176A4C">
      <w:pPr>
        <w:spacing w:before="1000" w:after="0" w:line="240" w:lineRule="auto"/>
      </w:pPr>
    </w:p>
    <w:p w14:paraId="2B55D4BB">
      <w:pPr>
        <w:spacing w:after="80" w:line="240" w:lineRule="auto"/>
        <w:jc w:val="center"/>
      </w:pPr>
      <w:r>
        <w:rPr>
          <w:rFonts w:ascii="Calibri" w:hAnsi="Calibri" w:eastAsia="黑体"/>
          <w:b/>
          <w:color w:val="1A1A2E"/>
          <w:sz w:val="24"/>
        </w:rPr>
        <w:t>NOTE: Financial projections based on Excel model</w:t>
      </w:r>
    </w:p>
    <w:p w14:paraId="16CECBB9">
      <w:pPr>
        <w:spacing w:before="1200" w:after="0" w:line="240" w:lineRule="auto"/>
      </w:pPr>
    </w:p>
    <w:p w14:paraId="166A3E1E">
      <w:pPr>
        <w:jc w:val="center"/>
      </w:pPr>
      <w:r>
        <w:rPr>
          <w:rFonts w:ascii="Calibri" w:hAnsi="Calibri" w:eastAsia="黑体"/>
          <w:color w:val="A8A8A8"/>
          <w:sz w:val="20"/>
        </w:rPr>
        <w:t>March 2026</w:t>
      </w:r>
    </w:p>
    <w:p w14:paraId="04DDCA70">
      <w:pPr>
        <w:spacing w:before="2000" w:after="0" w:line="240" w:lineRule="auto"/>
      </w:pPr>
    </w:p>
    <w:p w14:paraId="4BABCD61">
      <w:pPr>
        <w:spacing w:after="0" w:line="240" w:lineRule="auto"/>
        <w:jc w:val="center"/>
      </w:pPr>
      <w:r>
        <w:rPr>
          <w:rFonts w:ascii="Calibri" w:hAnsi="Calibri" w:eastAsia="黑体"/>
          <w:color w:val="A8A8A8"/>
          <w:sz w:val="16"/>
        </w:rPr>
        <w:t>CONFIDENTIAL: For institutional use only. This report is for informational purposes and does not constitute investment advice.</w:t>
      </w:r>
    </w:p>
    <w:p w14:paraId="18F2DFE7">
      <w:r>
        <w:br w:type="page"/>
      </w:r>
    </w:p>
    <w:p w14:paraId="38845658">
      <w:pPr>
        <w:keepNext/>
        <w:spacing w:before="360" w:line="240" w:lineRule="auto"/>
        <w:outlineLvl w:val="0"/>
      </w:pPr>
      <w:r>
        <w:rPr>
          <w:rFonts w:ascii="Calibri" w:hAnsi="Calibri" w:eastAsia="黑体"/>
          <w:b/>
          <w:color w:val="3D405B"/>
          <w:sz w:val="32"/>
        </w:rPr>
        <w:t>1. Investment Summary</w:t>
      </w:r>
    </w:p>
    <w:p w14:paraId="47F13500">
      <w:pPr>
        <w:spacing w:before="80" w:after="120" w:line="276" w:lineRule="auto"/>
        <w:jc w:val="both"/>
      </w:pPr>
      <w:bookmarkStart w:id="0" w:name="_GoBack"/>
      <w:r>
        <w:rPr>
          <w:rFonts w:ascii="Calibri" w:hAnsi="Calibri" w:eastAsia="黑体"/>
          <w:color w:val="1A1A2E"/>
          <w:sz w:val="21"/>
        </w:rPr>
        <w:t>Taiwan</w:t>
      </w:r>
      <w:bookmarkEnd w:id="0"/>
      <w:r>
        <w:rPr>
          <w:rFonts w:ascii="Calibri" w:hAnsi="Calibri" w:eastAsia="黑体"/>
          <w:color w:val="1A1A2E"/>
          <w:sz w:val="21"/>
        </w:rPr>
        <w:t xml:space="preserve"> Semiconductor Manufacturing Company (TSMC) commands ~60% of the global foundry market, manufacturing chips for Apple, NVIDIA, AMD, Qualcomm, and Broadcom. We initiate coverage with a BUY rating and NT$1,280 target price (30.6% upside). Three factors underpin our recommendation:</w:t>
      </w:r>
    </w:p>
    <w:p w14:paraId="0B8B2256">
      <w:pPr>
        <w:keepNext/>
        <w:spacing w:before="240" w:after="120" w:line="240" w:lineRule="auto"/>
        <w:outlineLvl w:val="1"/>
      </w:pPr>
      <w:r>
        <w:rPr>
          <w:rFonts w:ascii="Calibri" w:hAnsi="Calibri" w:eastAsia="黑体"/>
          <w:b/>
          <w:color w:val="3D405B"/>
          <w:sz w:val="24"/>
        </w:rPr>
        <w:t>Key Investment Reasons</w:t>
      </w:r>
    </w:p>
    <w:p w14:paraId="73B0EED8">
      <w:pPr>
        <w:spacing w:before="80" w:after="120" w:line="276" w:lineRule="auto"/>
        <w:jc w:val="both"/>
      </w:pPr>
      <w:r>
        <w:rPr>
          <w:rFonts w:ascii="Calibri" w:hAnsi="Calibri" w:eastAsia="黑体"/>
          <w:color w:val="1A1A2E"/>
          <w:sz w:val="21"/>
        </w:rPr>
        <w:t>First, AI ASIC demand is accelerating HPC growth beyond consensus. HPC revenue grew 48.5% YoY in FY2025A to NT$2,192.9B, driven by NVIDIA GPU orders, custom AI accelerators (Google TPU, Amazon Trainium, Meta ASIC), and CoWoS packaging near-monopoly. We project HPC reaching NT$4,276.2B by FY2028E (24.9% CAGR).</w:t>
      </w:r>
    </w:p>
    <w:p w14:paraId="65C7B7BF">
      <w:pPr>
        <w:spacing w:before="80" w:after="120" w:line="276" w:lineRule="auto"/>
        <w:jc w:val="both"/>
      </w:pPr>
      <w:r>
        <w:rPr>
          <w:rFonts w:ascii="Calibri" w:hAnsi="Calibri" w:eastAsia="黑体"/>
          <w:color w:val="1A1A2E"/>
          <w:sz w:val="21"/>
        </w:rPr>
        <w:t>Second, 59.9% FY2025A gross margin reflects structural operating leverage from 74.4% advanced node (≤7nm) wafer mix. As 3nm ramps and 2nm enters production in FY2027E, gross margin should stabilize at 57-59%, above sub-50% bear case levels.</w:t>
      </w:r>
    </w:p>
    <w:p w14:paraId="39E10E27">
      <w:pPr>
        <w:spacing w:before="80" w:after="120" w:line="276" w:lineRule="auto"/>
        <w:jc w:val="both"/>
      </w:pPr>
      <w:r>
        <w:rPr>
          <w:rFonts w:ascii="Calibri" w:hAnsi="Calibri" w:eastAsia="黑体"/>
          <w:color w:val="1A1A2E"/>
          <w:sz w:val="21"/>
        </w:rPr>
        <w:t>Third, FY2025A operating cash flow reached NT$2,275.0B (4.6% FCF yield). We model DPS growing from NT$22 to NT$35 by FY2028E (2.8% dividend yield at target).</w:t>
      </w:r>
    </w:p>
    <w:p w14:paraId="40343E95">
      <w:pPr>
        <w:keepNext/>
        <w:spacing w:before="240" w:after="120" w:line="240" w:lineRule="auto"/>
        <w:outlineLvl w:val="1"/>
        <w:rPr>
          <w:rFonts w:hint="eastAsia"/>
        </w:rPr>
      </w:pPr>
      <w:r>
        <w:rPr>
          <w:rFonts w:ascii="Calibri" w:hAnsi="Calibri" w:eastAsia="黑体"/>
          <w:b/>
          <w:color w:val="3D405B"/>
          <w:sz w:val="24"/>
        </w:rPr>
        <w:t>Key Risks</w:t>
      </w:r>
    </w:p>
    <w:p w14:paraId="2F51B6E4">
      <w:pPr>
        <w:spacing w:before="80" w:after="80" w:line="264" w:lineRule="auto"/>
        <w:ind w:left="360"/>
      </w:pPr>
      <w:r>
        <w:rPr>
          <w:rFonts w:ascii="Calibri" w:hAnsi="Calibri" w:eastAsia="黑体"/>
          <w:color w:val="1A1A2E"/>
          <w:sz w:val="20"/>
        </w:rPr>
        <w:t>• AI capex peak: 25% probability. HPC growth slowing to 15% in FY2027E reduces FY2028E EPS by NT$15.</w:t>
      </w:r>
    </w:p>
    <w:p w14:paraId="6CE21DB8">
      <w:pPr>
        <w:spacing w:before="80" w:after="80" w:line="264" w:lineRule="auto"/>
        <w:ind w:left="360"/>
      </w:pPr>
      <w:r>
        <w:rPr>
          <w:rFonts w:ascii="Calibri" w:hAnsi="Calibri" w:eastAsia="黑体"/>
          <w:color w:val="1A1A2E"/>
          <w:sz w:val="20"/>
        </w:rPr>
        <w:t>• Node competition: 15% probability. Samsung/SMIC pressure could compress FY2027E margin by 150bps.</w:t>
      </w:r>
    </w:p>
    <w:p w14:paraId="399B1454">
      <w:pPr>
        <w:spacing w:before="80" w:after="80" w:line="264" w:lineRule="auto"/>
        <w:ind w:left="360"/>
      </w:pPr>
      <w:r>
        <w:rPr>
          <w:rFonts w:ascii="Calibri" w:hAnsi="Calibri" w:eastAsia="黑体"/>
          <w:color w:val="1A1A2E"/>
          <w:sz w:val="20"/>
        </w:rPr>
        <w:t>• N2 ramp risk: 20% probability. 6-month delay shifts NT$300B+ FY2027E revenue to FY2028E, reducing near-term EPS by NT$8-10.</w:t>
      </w:r>
    </w:p>
    <w:p w14:paraId="0D67B75B">
      <w:r>
        <w:br w:type="page"/>
      </w:r>
    </w:p>
    <w:p w14:paraId="5EF1D38E">
      <w:pPr>
        <w:keepNext/>
        <w:spacing w:before="360" w:line="240" w:lineRule="auto"/>
        <w:outlineLvl w:val="0"/>
      </w:pPr>
      <w:r>
        <w:rPr>
          <w:rFonts w:ascii="Calibri" w:hAnsi="Calibri" w:eastAsia="黑体"/>
          <w:b/>
          <w:color w:val="3D405B"/>
          <w:sz w:val="32"/>
        </w:rPr>
        <w:t>2. Business Overview</w:t>
      </w:r>
    </w:p>
    <w:p w14:paraId="7E4DE2F2">
      <w:pPr>
        <w:spacing w:before="80" w:after="120" w:line="276" w:lineRule="auto"/>
        <w:jc w:val="both"/>
      </w:pPr>
      <w:r>
        <w:rPr>
          <w:rFonts w:ascii="Calibri" w:hAnsi="Calibri" w:eastAsia="黑体"/>
          <w:color w:val="1A1A2E"/>
          <w:sz w:val="21"/>
        </w:rPr>
        <w:t>TSMC operates as a pure-play foundry, manufacturing chips designed by its customers but not selling any products under its own brand. This model aligns incentives: customers receive TSMC's full manufacturing attention while TSMC avoids the conflict of competing with its clients. The company's competitive position rests on three pillars: process technology leadership, customer trust, and manufacturing scale.</w:t>
      </w:r>
    </w:p>
    <w:p w14:paraId="0D08617E">
      <w:pPr>
        <w:keepNext/>
        <w:spacing w:before="240" w:after="120" w:line="240" w:lineRule="auto"/>
        <w:outlineLvl w:val="1"/>
      </w:pPr>
      <w:r>
        <w:rPr>
          <w:rFonts w:ascii="Calibri" w:hAnsi="Calibri" w:eastAsia="黑体"/>
          <w:b/>
          <w:color w:val="3D405B"/>
          <w:sz w:val="24"/>
        </w:rPr>
        <w:t>Revenue Mix by Segment</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1998"/>
        <w:gridCol w:w="1582"/>
        <w:gridCol w:w="1582"/>
        <w:gridCol w:w="1582"/>
        <w:gridCol w:w="1582"/>
      </w:tblGrid>
      <w:tr w14:paraId="1C9ECA05">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shd w:val="clear" w:color="auto" w:fill="5C5C5C"/>
            <w:vAlign w:val="center"/>
          </w:tcPr>
          <w:p w14:paraId="1590D0C1">
            <w:pPr>
              <w:spacing w:before="60" w:after="60" w:line="240" w:lineRule="auto"/>
              <w:jc w:val="center"/>
            </w:pPr>
            <w:r>
              <w:rPr>
                <w:rFonts w:ascii="Calibri" w:hAnsi="Calibri" w:eastAsia="黑体"/>
                <w:b/>
                <w:color w:val="1A1A2E"/>
                <w:sz w:val="18"/>
              </w:rPr>
              <w:t>Segment</w:t>
            </w:r>
          </w:p>
        </w:tc>
        <w:tc>
          <w:tcPr>
            <w:tcW w:w="950" w:type="pct"/>
            <w:shd w:val="clear" w:color="auto" w:fill="5C5C5C"/>
            <w:vAlign w:val="center"/>
          </w:tcPr>
          <w:p w14:paraId="6FA53581">
            <w:pPr>
              <w:spacing w:before="60" w:after="60" w:line="240" w:lineRule="auto"/>
              <w:jc w:val="center"/>
            </w:pPr>
            <w:r>
              <w:rPr>
                <w:rFonts w:ascii="Calibri" w:hAnsi="Calibri" w:eastAsia="黑体"/>
                <w:b/>
                <w:color w:val="1A1A2E"/>
                <w:sz w:val="18"/>
              </w:rPr>
              <w:t>FY2025A Revenue</w:t>
            </w:r>
          </w:p>
        </w:tc>
        <w:tc>
          <w:tcPr>
            <w:tcW w:w="950" w:type="pct"/>
            <w:shd w:val="clear" w:color="auto" w:fill="5C5C5C"/>
            <w:vAlign w:val="center"/>
          </w:tcPr>
          <w:p w14:paraId="30029B50">
            <w:pPr>
              <w:spacing w:before="60" w:after="60" w:line="240" w:lineRule="auto"/>
              <w:jc w:val="center"/>
            </w:pPr>
            <w:r>
              <w:rPr>
                <w:rFonts w:ascii="Calibri" w:hAnsi="Calibri" w:eastAsia="黑体"/>
                <w:b/>
                <w:color w:val="1A1A2E"/>
                <w:sz w:val="18"/>
              </w:rPr>
              <w:t>% of Total</w:t>
            </w:r>
          </w:p>
        </w:tc>
        <w:tc>
          <w:tcPr>
            <w:tcW w:w="950" w:type="pct"/>
            <w:shd w:val="clear" w:color="auto" w:fill="5C5C5C"/>
            <w:vAlign w:val="center"/>
          </w:tcPr>
          <w:p w14:paraId="6F0D12DE">
            <w:pPr>
              <w:spacing w:before="60" w:after="60" w:line="240" w:lineRule="auto"/>
              <w:jc w:val="center"/>
            </w:pPr>
            <w:r>
              <w:rPr>
                <w:rFonts w:ascii="Calibri" w:hAnsi="Calibri" w:eastAsia="黑体"/>
                <w:b/>
                <w:color w:val="1A1A2E"/>
                <w:sz w:val="18"/>
              </w:rPr>
              <w:t>YoY Growth</w:t>
            </w:r>
          </w:p>
        </w:tc>
        <w:tc>
          <w:tcPr>
            <w:tcW w:w="950" w:type="pct"/>
            <w:shd w:val="clear" w:color="auto" w:fill="5C5C5C"/>
            <w:vAlign w:val="center"/>
          </w:tcPr>
          <w:p w14:paraId="6399C170">
            <w:pPr>
              <w:spacing w:before="60" w:after="60" w:line="240" w:lineRule="auto"/>
              <w:jc w:val="center"/>
            </w:pPr>
            <w:r>
              <w:rPr>
                <w:rFonts w:ascii="Calibri" w:hAnsi="Calibri" w:eastAsia="黑体"/>
                <w:b/>
                <w:color w:val="1A1A2E"/>
                <w:sz w:val="18"/>
              </w:rPr>
              <w:t>FY2024A Revenue</w:t>
            </w:r>
          </w:p>
        </w:tc>
      </w:tr>
      <w:tr w14:paraId="576D820D">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12B8DD9D">
            <w:pPr>
              <w:spacing w:before="40" w:after="40" w:line="240" w:lineRule="auto"/>
            </w:pPr>
            <w:r>
              <w:rPr>
                <w:rFonts w:ascii="Calibri" w:hAnsi="Calibri" w:eastAsia="黑体"/>
                <w:color w:val="1A1A2E"/>
                <w:sz w:val="18"/>
              </w:rPr>
              <w:t>High Performance Computing</w:t>
            </w:r>
          </w:p>
        </w:tc>
        <w:tc>
          <w:tcPr>
            <w:tcW w:w="950" w:type="pct"/>
            <w:vAlign w:val="center"/>
          </w:tcPr>
          <w:p w14:paraId="591A8190">
            <w:pPr>
              <w:spacing w:before="40" w:after="40" w:line="240" w:lineRule="auto"/>
              <w:jc w:val="right"/>
            </w:pPr>
            <w:r>
              <w:rPr>
                <w:rFonts w:ascii="Calibri" w:hAnsi="Calibri" w:eastAsia="黑体"/>
                <w:color w:val="1A1A2E"/>
                <w:sz w:val="18"/>
              </w:rPr>
              <w:t>2,192,931</w:t>
            </w:r>
          </w:p>
        </w:tc>
        <w:tc>
          <w:tcPr>
            <w:tcW w:w="950" w:type="pct"/>
            <w:vAlign w:val="center"/>
          </w:tcPr>
          <w:p w14:paraId="68E94D9F">
            <w:pPr>
              <w:spacing w:before="40" w:after="40" w:line="240" w:lineRule="auto"/>
              <w:jc w:val="right"/>
            </w:pPr>
            <w:r>
              <w:rPr>
                <w:rFonts w:ascii="Calibri" w:hAnsi="Calibri" w:eastAsia="黑体"/>
                <w:color w:val="1A1A2E"/>
                <w:sz w:val="18"/>
              </w:rPr>
              <w:t>57.6%</w:t>
            </w:r>
          </w:p>
        </w:tc>
        <w:tc>
          <w:tcPr>
            <w:tcW w:w="950" w:type="pct"/>
            <w:vAlign w:val="center"/>
          </w:tcPr>
          <w:p w14:paraId="5953C492">
            <w:pPr>
              <w:spacing w:before="40" w:after="40" w:line="240" w:lineRule="auto"/>
              <w:jc w:val="right"/>
            </w:pPr>
            <w:r>
              <w:rPr>
                <w:rFonts w:ascii="Calibri" w:hAnsi="Calibri" w:eastAsia="黑体"/>
                <w:color w:val="1A1A2E"/>
                <w:sz w:val="18"/>
              </w:rPr>
              <w:t>+48.5%</w:t>
            </w:r>
          </w:p>
        </w:tc>
        <w:tc>
          <w:tcPr>
            <w:tcW w:w="950" w:type="pct"/>
            <w:vAlign w:val="center"/>
          </w:tcPr>
          <w:p w14:paraId="7DA8FFE2">
            <w:pPr>
              <w:spacing w:before="40" w:after="40" w:line="240" w:lineRule="auto"/>
              <w:jc w:val="right"/>
            </w:pPr>
            <w:r>
              <w:rPr>
                <w:rFonts w:ascii="Calibri" w:hAnsi="Calibri" w:eastAsia="黑体"/>
                <w:color w:val="1A1A2E"/>
                <w:sz w:val="18"/>
              </w:rPr>
              <w:t>1,476,891</w:t>
            </w:r>
          </w:p>
        </w:tc>
      </w:tr>
      <w:tr w14:paraId="1B4FCD64">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1F231DCB">
            <w:pPr>
              <w:spacing w:before="40" w:after="40" w:line="240" w:lineRule="auto"/>
            </w:pPr>
            <w:r>
              <w:rPr>
                <w:rFonts w:ascii="Calibri" w:hAnsi="Calibri" w:eastAsia="黑体"/>
                <w:color w:val="1A1A2E"/>
                <w:sz w:val="18"/>
              </w:rPr>
              <w:t>Smartphone</w:t>
            </w:r>
          </w:p>
        </w:tc>
        <w:tc>
          <w:tcPr>
            <w:tcW w:w="950" w:type="pct"/>
            <w:vAlign w:val="center"/>
          </w:tcPr>
          <w:p w14:paraId="213AABE5">
            <w:pPr>
              <w:spacing w:before="40" w:after="40" w:line="240" w:lineRule="auto"/>
              <w:jc w:val="right"/>
            </w:pPr>
            <w:r>
              <w:rPr>
                <w:rFonts w:ascii="Calibri" w:hAnsi="Calibri" w:eastAsia="黑体"/>
                <w:color w:val="1A1A2E"/>
                <w:sz w:val="18"/>
              </w:rPr>
              <w:t>1,110,816</w:t>
            </w:r>
          </w:p>
        </w:tc>
        <w:tc>
          <w:tcPr>
            <w:tcW w:w="950" w:type="pct"/>
            <w:vAlign w:val="center"/>
          </w:tcPr>
          <w:p w14:paraId="62E13E0A">
            <w:pPr>
              <w:spacing w:before="40" w:after="40" w:line="240" w:lineRule="auto"/>
              <w:jc w:val="right"/>
            </w:pPr>
            <w:r>
              <w:rPr>
                <w:rFonts w:ascii="Calibri" w:hAnsi="Calibri" w:eastAsia="黑体"/>
                <w:color w:val="1A1A2E"/>
                <w:sz w:val="18"/>
              </w:rPr>
              <w:t>29.2%</w:t>
            </w:r>
          </w:p>
        </w:tc>
        <w:tc>
          <w:tcPr>
            <w:tcW w:w="950" w:type="pct"/>
            <w:vAlign w:val="center"/>
          </w:tcPr>
          <w:p w14:paraId="7615FB44">
            <w:pPr>
              <w:spacing w:before="40" w:after="40" w:line="240" w:lineRule="auto"/>
              <w:jc w:val="right"/>
            </w:pPr>
            <w:r>
              <w:rPr>
                <w:rFonts w:ascii="Calibri" w:hAnsi="Calibri" w:eastAsia="黑体"/>
                <w:color w:val="1A1A2E"/>
                <w:sz w:val="18"/>
              </w:rPr>
              <w:t>+10.5%</w:t>
            </w:r>
          </w:p>
        </w:tc>
        <w:tc>
          <w:tcPr>
            <w:tcW w:w="950" w:type="pct"/>
            <w:vAlign w:val="center"/>
          </w:tcPr>
          <w:p w14:paraId="445566A6">
            <w:pPr>
              <w:spacing w:before="40" w:after="40" w:line="240" w:lineRule="auto"/>
              <w:jc w:val="right"/>
            </w:pPr>
            <w:r>
              <w:rPr>
                <w:rFonts w:ascii="Calibri" w:hAnsi="Calibri" w:eastAsia="黑体"/>
                <w:color w:val="1A1A2E"/>
                <w:sz w:val="18"/>
              </w:rPr>
              <w:t>1,005,130</w:t>
            </w:r>
          </w:p>
        </w:tc>
      </w:tr>
      <w:tr w14:paraId="48212EAC">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5F873C0F">
            <w:pPr>
              <w:spacing w:before="40" w:after="40" w:line="240" w:lineRule="auto"/>
            </w:pPr>
            <w:r>
              <w:rPr>
                <w:rFonts w:ascii="Calibri" w:hAnsi="Calibri" w:eastAsia="黑体"/>
                <w:color w:val="1A1A2E"/>
                <w:sz w:val="18"/>
              </w:rPr>
              <w:t>IoT</w:t>
            </w:r>
          </w:p>
        </w:tc>
        <w:tc>
          <w:tcPr>
            <w:tcW w:w="950" w:type="pct"/>
            <w:vAlign w:val="center"/>
          </w:tcPr>
          <w:p w14:paraId="6217F745">
            <w:pPr>
              <w:spacing w:before="40" w:after="40" w:line="240" w:lineRule="auto"/>
              <w:jc w:val="right"/>
            </w:pPr>
            <w:r>
              <w:rPr>
                <w:rFonts w:ascii="Calibri" w:hAnsi="Calibri" w:eastAsia="黑体"/>
                <w:color w:val="1A1A2E"/>
                <w:sz w:val="18"/>
              </w:rPr>
              <w:t>191,047</w:t>
            </w:r>
          </w:p>
        </w:tc>
        <w:tc>
          <w:tcPr>
            <w:tcW w:w="950" w:type="pct"/>
            <w:vAlign w:val="center"/>
          </w:tcPr>
          <w:p w14:paraId="4C75FA84">
            <w:pPr>
              <w:spacing w:before="40" w:after="40" w:line="240" w:lineRule="auto"/>
              <w:jc w:val="right"/>
            </w:pPr>
            <w:r>
              <w:rPr>
                <w:rFonts w:ascii="Calibri" w:hAnsi="Calibri" w:eastAsia="黑体"/>
                <w:color w:val="1A1A2E"/>
                <w:sz w:val="18"/>
              </w:rPr>
              <w:t>5.0%</w:t>
            </w:r>
          </w:p>
        </w:tc>
        <w:tc>
          <w:tcPr>
            <w:tcW w:w="950" w:type="pct"/>
            <w:vAlign w:val="center"/>
          </w:tcPr>
          <w:p w14:paraId="65187BBC">
            <w:pPr>
              <w:spacing w:before="40" w:after="40" w:line="240" w:lineRule="auto"/>
              <w:jc w:val="right"/>
            </w:pPr>
            <w:r>
              <w:rPr>
                <w:rFonts w:ascii="Calibri" w:hAnsi="Calibri" w:eastAsia="黑体"/>
                <w:color w:val="1A1A2E"/>
                <w:sz w:val="18"/>
              </w:rPr>
              <w:t>+15.4%</w:t>
            </w:r>
          </w:p>
        </w:tc>
        <w:tc>
          <w:tcPr>
            <w:tcW w:w="950" w:type="pct"/>
            <w:vAlign w:val="center"/>
          </w:tcPr>
          <w:p w14:paraId="774FB6B5">
            <w:pPr>
              <w:spacing w:before="40" w:after="40" w:line="240" w:lineRule="auto"/>
              <w:jc w:val="right"/>
            </w:pPr>
            <w:r>
              <w:rPr>
                <w:rFonts w:ascii="Calibri" w:hAnsi="Calibri" w:eastAsia="黑体"/>
                <w:color w:val="1A1A2E"/>
                <w:sz w:val="18"/>
              </w:rPr>
              <w:t>165,516</w:t>
            </w:r>
          </w:p>
        </w:tc>
      </w:tr>
      <w:tr w14:paraId="598F4891">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3C084C22">
            <w:pPr>
              <w:spacing w:before="40" w:after="40" w:line="240" w:lineRule="auto"/>
            </w:pPr>
            <w:r>
              <w:rPr>
                <w:rFonts w:ascii="Calibri" w:hAnsi="Calibri" w:eastAsia="黑体"/>
                <w:color w:val="1A1A2E"/>
                <w:sz w:val="18"/>
              </w:rPr>
              <w:t>Automotive</w:t>
            </w:r>
          </w:p>
        </w:tc>
        <w:tc>
          <w:tcPr>
            <w:tcW w:w="950" w:type="pct"/>
            <w:vAlign w:val="center"/>
          </w:tcPr>
          <w:p w14:paraId="255D916A">
            <w:pPr>
              <w:spacing w:before="40" w:after="40" w:line="240" w:lineRule="auto"/>
              <w:jc w:val="right"/>
            </w:pPr>
            <w:r>
              <w:rPr>
                <w:rFonts w:ascii="Calibri" w:hAnsi="Calibri" w:eastAsia="黑体"/>
                <w:color w:val="1A1A2E"/>
                <w:sz w:val="18"/>
              </w:rPr>
              <w:t>186,667</w:t>
            </w:r>
          </w:p>
        </w:tc>
        <w:tc>
          <w:tcPr>
            <w:tcW w:w="950" w:type="pct"/>
            <w:vAlign w:val="center"/>
          </w:tcPr>
          <w:p w14:paraId="11A059EA">
            <w:pPr>
              <w:spacing w:before="40" w:after="40" w:line="240" w:lineRule="auto"/>
              <w:jc w:val="right"/>
            </w:pPr>
            <w:r>
              <w:rPr>
                <w:rFonts w:ascii="Calibri" w:hAnsi="Calibri" w:eastAsia="黑体"/>
                <w:color w:val="1A1A2E"/>
                <w:sz w:val="18"/>
              </w:rPr>
              <w:t>4.9%</w:t>
            </w:r>
          </w:p>
        </w:tc>
        <w:tc>
          <w:tcPr>
            <w:tcW w:w="950" w:type="pct"/>
            <w:vAlign w:val="center"/>
          </w:tcPr>
          <w:p w14:paraId="4FA627A5">
            <w:pPr>
              <w:spacing w:before="40" w:after="40" w:line="240" w:lineRule="auto"/>
              <w:jc w:val="right"/>
            </w:pPr>
            <w:r>
              <w:rPr>
                <w:rFonts w:ascii="Calibri" w:hAnsi="Calibri" w:eastAsia="黑体"/>
                <w:color w:val="1A1A2E"/>
                <w:sz w:val="18"/>
              </w:rPr>
              <w:t>+34.0%</w:t>
            </w:r>
          </w:p>
        </w:tc>
        <w:tc>
          <w:tcPr>
            <w:tcW w:w="950" w:type="pct"/>
            <w:vAlign w:val="center"/>
          </w:tcPr>
          <w:p w14:paraId="344BC347">
            <w:pPr>
              <w:spacing w:before="40" w:after="40" w:line="240" w:lineRule="auto"/>
              <w:jc w:val="right"/>
            </w:pPr>
            <w:r>
              <w:rPr>
                <w:rFonts w:ascii="Calibri" w:hAnsi="Calibri" w:eastAsia="黑体"/>
                <w:color w:val="1A1A2E"/>
                <w:sz w:val="18"/>
              </w:rPr>
              <w:t>139,323</w:t>
            </w:r>
          </w:p>
        </w:tc>
      </w:tr>
      <w:tr w14:paraId="75F97D16">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68DFD158">
            <w:pPr>
              <w:spacing w:before="40" w:after="40" w:line="240" w:lineRule="auto"/>
            </w:pPr>
            <w:r>
              <w:rPr>
                <w:rFonts w:ascii="Calibri" w:hAnsi="Calibri" w:eastAsia="黑体"/>
                <w:color w:val="1A1A2E"/>
                <w:sz w:val="18"/>
              </w:rPr>
              <w:t>Digital Consumer Electronics</w:t>
            </w:r>
          </w:p>
        </w:tc>
        <w:tc>
          <w:tcPr>
            <w:tcW w:w="950" w:type="pct"/>
            <w:vAlign w:val="center"/>
          </w:tcPr>
          <w:p w14:paraId="6D6F01AC">
            <w:pPr>
              <w:spacing w:before="40" w:after="40" w:line="240" w:lineRule="auto"/>
              <w:jc w:val="right"/>
            </w:pPr>
            <w:r>
              <w:rPr>
                <w:rFonts w:ascii="Calibri" w:hAnsi="Calibri" w:eastAsia="黑体"/>
                <w:color w:val="1A1A2E"/>
                <w:sz w:val="18"/>
              </w:rPr>
              <w:t>47,996</w:t>
            </w:r>
          </w:p>
        </w:tc>
        <w:tc>
          <w:tcPr>
            <w:tcW w:w="950" w:type="pct"/>
            <w:vAlign w:val="center"/>
          </w:tcPr>
          <w:p w14:paraId="56A0021E">
            <w:pPr>
              <w:spacing w:before="40" w:after="40" w:line="240" w:lineRule="auto"/>
              <w:jc w:val="right"/>
            </w:pPr>
            <w:r>
              <w:rPr>
                <w:rFonts w:ascii="Calibri" w:hAnsi="Calibri" w:eastAsia="黑体"/>
                <w:color w:val="1A1A2E"/>
                <w:sz w:val="18"/>
              </w:rPr>
              <w:t>1.3%</w:t>
            </w:r>
          </w:p>
        </w:tc>
        <w:tc>
          <w:tcPr>
            <w:tcW w:w="950" w:type="pct"/>
            <w:vAlign w:val="center"/>
          </w:tcPr>
          <w:p w14:paraId="537E229F">
            <w:pPr>
              <w:spacing w:before="40" w:after="40" w:line="240" w:lineRule="auto"/>
              <w:jc w:val="right"/>
            </w:pPr>
            <w:r>
              <w:rPr>
                <w:rFonts w:ascii="Calibri" w:hAnsi="Calibri" w:eastAsia="黑体"/>
                <w:color w:val="1A1A2E"/>
                <w:sz w:val="18"/>
              </w:rPr>
              <w:t>+0.1%</w:t>
            </w:r>
          </w:p>
        </w:tc>
        <w:tc>
          <w:tcPr>
            <w:tcW w:w="950" w:type="pct"/>
            <w:vAlign w:val="center"/>
          </w:tcPr>
          <w:p w14:paraId="290312EB">
            <w:pPr>
              <w:spacing w:before="40" w:after="40" w:line="240" w:lineRule="auto"/>
              <w:jc w:val="right"/>
            </w:pPr>
            <w:r>
              <w:rPr>
                <w:rFonts w:ascii="Calibri" w:hAnsi="Calibri" w:eastAsia="黑体"/>
                <w:color w:val="1A1A2E"/>
                <w:sz w:val="18"/>
              </w:rPr>
              <w:t>47,960</w:t>
            </w:r>
          </w:p>
        </w:tc>
      </w:tr>
      <w:tr w14:paraId="555CEC64">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7F40AC46">
            <w:pPr>
              <w:spacing w:before="40" w:after="40" w:line="240" w:lineRule="auto"/>
            </w:pPr>
            <w:r>
              <w:rPr>
                <w:rFonts w:ascii="Calibri" w:hAnsi="Calibri" w:eastAsia="黑体"/>
                <w:color w:val="1A1A2E"/>
                <w:sz w:val="18"/>
              </w:rPr>
              <w:t>Others</w:t>
            </w:r>
          </w:p>
        </w:tc>
        <w:tc>
          <w:tcPr>
            <w:tcW w:w="950" w:type="pct"/>
            <w:vAlign w:val="center"/>
          </w:tcPr>
          <w:p w14:paraId="6F1E0039">
            <w:pPr>
              <w:spacing w:before="40" w:after="40" w:line="240" w:lineRule="auto"/>
              <w:jc w:val="right"/>
            </w:pPr>
            <w:r>
              <w:rPr>
                <w:rFonts w:ascii="Calibri" w:hAnsi="Calibri" w:eastAsia="黑体"/>
                <w:color w:val="1A1A2E"/>
                <w:sz w:val="18"/>
              </w:rPr>
              <w:t>79,597</w:t>
            </w:r>
          </w:p>
        </w:tc>
        <w:tc>
          <w:tcPr>
            <w:tcW w:w="950" w:type="pct"/>
            <w:vAlign w:val="center"/>
          </w:tcPr>
          <w:p w14:paraId="6CFB8237">
            <w:pPr>
              <w:spacing w:before="40" w:after="40" w:line="240" w:lineRule="auto"/>
              <w:jc w:val="right"/>
            </w:pPr>
            <w:r>
              <w:rPr>
                <w:rFonts w:ascii="Calibri" w:hAnsi="Calibri" w:eastAsia="黑体"/>
                <w:color w:val="1A1A2E"/>
                <w:sz w:val="18"/>
              </w:rPr>
              <w:t>2.1%</w:t>
            </w:r>
          </w:p>
        </w:tc>
        <w:tc>
          <w:tcPr>
            <w:tcW w:w="950" w:type="pct"/>
            <w:vAlign w:val="center"/>
          </w:tcPr>
          <w:p w14:paraId="07BF6D66">
            <w:pPr>
              <w:spacing w:before="40" w:after="40" w:line="240" w:lineRule="auto"/>
              <w:jc w:val="right"/>
            </w:pPr>
            <w:r>
              <w:rPr>
                <w:rFonts w:ascii="Calibri" w:hAnsi="Calibri" w:eastAsia="黑体"/>
                <w:color w:val="1A1A2E"/>
                <w:sz w:val="18"/>
              </w:rPr>
              <w:t>+33.8%</w:t>
            </w:r>
          </w:p>
        </w:tc>
        <w:tc>
          <w:tcPr>
            <w:tcW w:w="950" w:type="pct"/>
            <w:vAlign w:val="center"/>
          </w:tcPr>
          <w:p w14:paraId="55D48771">
            <w:pPr>
              <w:spacing w:before="40" w:after="40" w:line="240" w:lineRule="auto"/>
              <w:jc w:val="right"/>
            </w:pPr>
            <w:r>
              <w:rPr>
                <w:rFonts w:ascii="Calibri" w:hAnsi="Calibri" w:eastAsia="黑体"/>
                <w:color w:val="1A1A2E"/>
                <w:sz w:val="18"/>
              </w:rPr>
              <w:t>59,487</w:t>
            </w:r>
          </w:p>
        </w:tc>
      </w:tr>
      <w:tr w14:paraId="6B026C17">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68E59935">
            <w:pPr>
              <w:spacing w:before="40" w:after="40" w:line="240" w:lineRule="auto"/>
            </w:pPr>
            <w:r>
              <w:rPr>
                <w:rFonts w:ascii="Calibri" w:hAnsi="Calibri" w:eastAsia="黑体"/>
                <w:b/>
                <w:color w:val="1A1A2E"/>
                <w:sz w:val="18"/>
              </w:rPr>
              <w:t>Total Revenue</w:t>
            </w:r>
          </w:p>
        </w:tc>
        <w:tc>
          <w:tcPr>
            <w:tcW w:w="950" w:type="pct"/>
            <w:vAlign w:val="center"/>
          </w:tcPr>
          <w:p w14:paraId="4B338123">
            <w:pPr>
              <w:spacing w:before="40" w:after="40" w:line="240" w:lineRule="auto"/>
              <w:jc w:val="right"/>
            </w:pPr>
            <w:r>
              <w:rPr>
                <w:rFonts w:ascii="Calibri" w:hAnsi="Calibri" w:eastAsia="黑体"/>
                <w:b/>
                <w:color w:val="1A1A2E"/>
                <w:sz w:val="18"/>
              </w:rPr>
              <w:t>3,809,054</w:t>
            </w:r>
          </w:p>
        </w:tc>
        <w:tc>
          <w:tcPr>
            <w:tcW w:w="950" w:type="pct"/>
            <w:vAlign w:val="center"/>
          </w:tcPr>
          <w:p w14:paraId="11EDF15C">
            <w:pPr>
              <w:spacing w:before="40" w:after="40" w:line="240" w:lineRule="auto"/>
              <w:jc w:val="right"/>
            </w:pPr>
            <w:r>
              <w:rPr>
                <w:rFonts w:ascii="Calibri" w:hAnsi="Calibri" w:eastAsia="黑体"/>
                <w:b/>
                <w:color w:val="1A1A2E"/>
                <w:sz w:val="18"/>
              </w:rPr>
              <w:t>100.0%</w:t>
            </w:r>
          </w:p>
        </w:tc>
        <w:tc>
          <w:tcPr>
            <w:tcW w:w="950" w:type="pct"/>
            <w:vAlign w:val="center"/>
          </w:tcPr>
          <w:p w14:paraId="7051217F">
            <w:pPr>
              <w:spacing w:before="40" w:after="40" w:line="240" w:lineRule="auto"/>
              <w:jc w:val="right"/>
            </w:pPr>
            <w:r>
              <w:rPr>
                <w:rFonts w:ascii="Calibri" w:hAnsi="Calibri" w:eastAsia="黑体"/>
                <w:b/>
                <w:color w:val="1A1A2E"/>
                <w:sz w:val="18"/>
              </w:rPr>
              <w:t>+31.6%</w:t>
            </w:r>
          </w:p>
        </w:tc>
        <w:tc>
          <w:tcPr>
            <w:tcW w:w="950" w:type="pct"/>
            <w:vAlign w:val="center"/>
          </w:tcPr>
          <w:p w14:paraId="737F057C">
            <w:pPr>
              <w:spacing w:before="40" w:after="40" w:line="240" w:lineRule="auto"/>
              <w:jc w:val="right"/>
            </w:pPr>
            <w:r>
              <w:rPr>
                <w:rFonts w:ascii="Calibri" w:hAnsi="Calibri" w:eastAsia="黑体"/>
                <w:b/>
                <w:color w:val="1A1A2E"/>
                <w:sz w:val="18"/>
              </w:rPr>
              <w:t>2,894,307</w:t>
            </w:r>
          </w:p>
        </w:tc>
      </w:tr>
    </w:tbl>
    <w:p w14:paraId="56F9ACE9">
      <w:pPr>
        <w:spacing w:before="80" w:after="120" w:line="276" w:lineRule="auto"/>
        <w:jc w:val="both"/>
      </w:pPr>
      <w:r>
        <w:rPr>
          <w:rFonts w:ascii="Calibri" w:hAnsi="Calibri" w:eastAsia="黑体"/>
          <w:color w:val="1A1A2E"/>
          <w:sz w:val="21"/>
        </w:rPr>
        <w:t>HPC (High Performance Computing) is TSMC's largest and fastest-growing segment, accounting for 57.6% of FY2025A revenue. The segment encompasses NVIDIA GPUs, AMD CPUs, and custom AI accelerators. Growth is driven by insatiable demand for AI training and inference compute. Smartphone (29.2% of revenue) remains a stable business, benefiting from 5G upgrade cycles and Apple's iPhone processor orders. IoT, Automotive, and Digital Consumer Electronics together comprise the remaining 13.2%, providing diversification into slower-growing but steady markets.</w:t>
      </w:r>
    </w:p>
    <w:p w14:paraId="436B388B">
      <w:pPr>
        <w:jc w:val="center"/>
      </w:pPr>
      <w:r>
        <w:drawing>
          <wp:inline distT="0" distB="0" distL="0" distR="0">
            <wp:extent cx="3358515" cy="2453640"/>
            <wp:effectExtent l="0" t="0" r="0" b="0"/>
            <wp:docPr id="1261738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38874"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3550" cy="2479179"/>
                    </a:xfrm>
                    <a:prstGeom prst="rect">
                      <a:avLst/>
                    </a:prstGeom>
                  </pic:spPr>
                </pic:pic>
              </a:graphicData>
            </a:graphic>
          </wp:inline>
        </w:drawing>
      </w:r>
    </w:p>
    <w:p w14:paraId="0364F46E">
      <w:pPr>
        <w:keepNext/>
        <w:spacing w:before="240" w:after="120" w:line="240" w:lineRule="auto"/>
        <w:outlineLvl w:val="1"/>
      </w:pPr>
      <w:r>
        <w:rPr>
          <w:rFonts w:ascii="Calibri" w:hAnsi="Calibri" w:eastAsia="黑体"/>
          <w:b/>
          <w:color w:val="3D405B"/>
          <w:sz w:val="24"/>
        </w:rPr>
        <w:t>Competitive Position</w:t>
      </w:r>
    </w:p>
    <w:p w14:paraId="00BCAAD3">
      <w:pPr>
        <w:spacing w:before="80" w:after="120" w:line="276" w:lineRule="auto"/>
        <w:jc w:val="both"/>
        <w:rPr>
          <w:rFonts w:hint="eastAsia"/>
        </w:rPr>
      </w:pPr>
      <w:r>
        <w:rPr>
          <w:rFonts w:ascii="Calibri" w:hAnsi="Calibri" w:eastAsia="黑体"/>
          <w:color w:val="1A1A2E"/>
          <w:sz w:val="21"/>
        </w:rPr>
        <w:t xml:space="preserve">TSMC commands approximately 60% of the global foundry market by revenue and over 90% of the most advanced node (≤7nm) market. The company's nearest competitor, Samsung Foundry, holds approximately 15% foundry market share but has struggled with 3nm yield issues. Intel Foundry Services remains years behind in advanced node capability. </w:t>
      </w:r>
    </w:p>
    <w:p w14:paraId="60F203B8">
      <w:pPr>
        <w:rPr>
          <w:rFonts w:hint="eastAsia"/>
        </w:rPr>
      </w:pPr>
    </w:p>
    <w:p w14:paraId="3F8583FC">
      <w:pPr>
        <w:rPr>
          <w:rFonts w:hint="eastAsia"/>
        </w:rPr>
      </w:pPr>
      <w:r>
        <w:br w:type="page"/>
      </w:r>
    </w:p>
    <w:p w14:paraId="00252D32">
      <w:pPr>
        <w:keepNext/>
        <w:spacing w:before="360" w:line="240" w:lineRule="auto"/>
        <w:outlineLvl w:val="0"/>
      </w:pPr>
      <w:r>
        <w:rPr>
          <w:rFonts w:ascii="Calibri" w:hAnsi="Calibri" w:eastAsia="黑体"/>
          <w:b/>
          <w:color w:val="3D405B"/>
          <w:sz w:val="32"/>
        </w:rPr>
        <w:t>3. Historical Financial Analysis</w:t>
      </w:r>
    </w:p>
    <w:p w14:paraId="2D43980E">
      <w:pPr>
        <w:keepNext/>
        <w:spacing w:before="240" w:after="120" w:line="240" w:lineRule="auto"/>
        <w:outlineLvl w:val="1"/>
      </w:pPr>
      <w:r>
        <w:rPr>
          <w:rFonts w:ascii="Calibri" w:hAnsi="Calibri" w:eastAsia="黑体"/>
          <w:b/>
          <w:color w:val="3D405B"/>
          <w:sz w:val="24"/>
        </w:rPr>
        <w:t>FY2024A - FY2025A Performance</w:t>
      </w:r>
    </w:p>
    <w:p w14:paraId="152D101B">
      <w:pPr>
        <w:spacing w:before="80" w:after="120" w:line="276" w:lineRule="auto"/>
        <w:jc w:val="both"/>
      </w:pPr>
      <w:r>
        <w:rPr>
          <w:rFonts w:ascii="Calibri" w:hAnsi="Calibri" w:eastAsia="黑体"/>
          <w:color w:val="1A1A2E"/>
          <w:sz w:val="21"/>
        </w:rPr>
        <w:t>TSMC delivered exceptional results in FY2025A, with total revenue growing 31.6% YoY to NT$3,809.1B. The acceleration from 17.4% growth in FY2023A and 25.2% in FY2024A reflects the AI compute buildout that accelerated in Q4 CY2023 and continued through FY2025A.</w:t>
      </w:r>
    </w:p>
    <w:p w14:paraId="7CCF9473">
      <w:pPr>
        <w:keepNext/>
        <w:spacing w:before="240" w:after="120" w:line="240" w:lineRule="auto"/>
        <w:outlineLvl w:val="1"/>
      </w:pPr>
      <w:r>
        <w:rPr>
          <w:rFonts w:ascii="Calibri" w:hAnsi="Calibri" w:eastAsia="黑体"/>
          <w:b/>
          <w:color w:val="3D405B"/>
          <w:sz w:val="24"/>
        </w:rPr>
        <w:t>Income Statement Summary</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1998"/>
        <w:gridCol w:w="1582"/>
        <w:gridCol w:w="1582"/>
        <w:gridCol w:w="1582"/>
        <w:gridCol w:w="1582"/>
      </w:tblGrid>
      <w:tr w14:paraId="50A8F866">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shd w:val="clear" w:color="auto" w:fill="5C5C5C"/>
            <w:vAlign w:val="center"/>
          </w:tcPr>
          <w:p w14:paraId="427F0C45">
            <w:pPr>
              <w:spacing w:before="60" w:after="60" w:line="240" w:lineRule="auto"/>
              <w:jc w:val="center"/>
            </w:pPr>
            <w:r>
              <w:rPr>
                <w:rFonts w:ascii="Calibri" w:hAnsi="Calibri" w:eastAsia="黑体"/>
                <w:b/>
                <w:color w:val="1A1A2E"/>
                <w:sz w:val="18"/>
              </w:rPr>
              <w:t>Metric (NT$ millions)</w:t>
            </w:r>
          </w:p>
        </w:tc>
        <w:tc>
          <w:tcPr>
            <w:tcW w:w="950" w:type="pct"/>
            <w:shd w:val="clear" w:color="auto" w:fill="5C5C5C"/>
            <w:vAlign w:val="center"/>
          </w:tcPr>
          <w:p w14:paraId="1F067CB9">
            <w:pPr>
              <w:spacing w:before="60" w:after="60" w:line="240" w:lineRule="auto"/>
              <w:jc w:val="center"/>
            </w:pPr>
            <w:r>
              <w:rPr>
                <w:rFonts w:ascii="Calibri" w:hAnsi="Calibri" w:eastAsia="黑体"/>
                <w:b/>
                <w:color w:val="1A1A2E"/>
                <w:sz w:val="18"/>
              </w:rPr>
              <w:t>FY2024A</w:t>
            </w:r>
          </w:p>
        </w:tc>
        <w:tc>
          <w:tcPr>
            <w:tcW w:w="950" w:type="pct"/>
            <w:shd w:val="clear" w:color="auto" w:fill="5C5C5C"/>
            <w:vAlign w:val="center"/>
          </w:tcPr>
          <w:p w14:paraId="56EB8DE3">
            <w:pPr>
              <w:spacing w:before="60" w:after="60" w:line="240" w:lineRule="auto"/>
              <w:jc w:val="center"/>
            </w:pPr>
            <w:r>
              <w:rPr>
                <w:rFonts w:ascii="Calibri" w:hAnsi="Calibri" w:eastAsia="黑体"/>
                <w:b/>
                <w:color w:val="1A1A2E"/>
                <w:sz w:val="18"/>
              </w:rPr>
              <w:t>FY2025A</w:t>
            </w:r>
          </w:p>
        </w:tc>
        <w:tc>
          <w:tcPr>
            <w:tcW w:w="950" w:type="pct"/>
            <w:shd w:val="clear" w:color="auto" w:fill="5C5C5C"/>
            <w:vAlign w:val="center"/>
          </w:tcPr>
          <w:p w14:paraId="25AF1EA6">
            <w:pPr>
              <w:spacing w:before="60" w:after="60" w:line="240" w:lineRule="auto"/>
              <w:jc w:val="center"/>
            </w:pPr>
            <w:r>
              <w:rPr>
                <w:rFonts w:ascii="Calibri" w:hAnsi="Calibri" w:eastAsia="黑体"/>
                <w:b/>
                <w:color w:val="1A1A2E"/>
                <w:sz w:val="18"/>
              </w:rPr>
              <w:t>YoY Change</w:t>
            </w:r>
          </w:p>
        </w:tc>
        <w:tc>
          <w:tcPr>
            <w:tcW w:w="950" w:type="pct"/>
            <w:shd w:val="clear" w:color="auto" w:fill="5C5C5C"/>
            <w:vAlign w:val="center"/>
          </w:tcPr>
          <w:p w14:paraId="4A379055">
            <w:pPr>
              <w:spacing w:before="60" w:after="60" w:line="240" w:lineRule="auto"/>
              <w:jc w:val="center"/>
            </w:pPr>
            <w:r>
              <w:rPr>
                <w:rFonts w:ascii="Calibri" w:hAnsi="Calibri" w:eastAsia="黑体"/>
                <w:b/>
                <w:color w:val="1A1A2E"/>
                <w:sz w:val="18"/>
              </w:rPr>
              <w:t>YoY %</w:t>
            </w:r>
          </w:p>
        </w:tc>
      </w:tr>
      <w:tr w14:paraId="3FCC84F2">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7D4E53FE">
            <w:pPr>
              <w:spacing w:before="40" w:after="40" w:line="240" w:lineRule="auto"/>
            </w:pPr>
            <w:r>
              <w:rPr>
                <w:rFonts w:ascii="Calibri" w:hAnsi="Calibri" w:eastAsia="黑体"/>
                <w:color w:val="1A1A2E"/>
                <w:sz w:val="18"/>
              </w:rPr>
              <w:t>Net Revenue</w:t>
            </w:r>
          </w:p>
        </w:tc>
        <w:tc>
          <w:tcPr>
            <w:tcW w:w="950" w:type="pct"/>
            <w:vAlign w:val="center"/>
          </w:tcPr>
          <w:p w14:paraId="40F9298A">
            <w:pPr>
              <w:spacing w:before="40" w:after="40" w:line="240" w:lineRule="auto"/>
              <w:jc w:val="right"/>
            </w:pPr>
            <w:r>
              <w:rPr>
                <w:rFonts w:ascii="Calibri" w:hAnsi="Calibri" w:eastAsia="黑体"/>
                <w:color w:val="1A1A2E"/>
                <w:sz w:val="18"/>
              </w:rPr>
              <w:t>2,894,308</w:t>
            </w:r>
          </w:p>
        </w:tc>
        <w:tc>
          <w:tcPr>
            <w:tcW w:w="950" w:type="pct"/>
            <w:vAlign w:val="center"/>
          </w:tcPr>
          <w:p w14:paraId="31BB6D1F">
            <w:pPr>
              <w:spacing w:before="40" w:after="40" w:line="240" w:lineRule="auto"/>
              <w:jc w:val="right"/>
            </w:pPr>
            <w:r>
              <w:rPr>
                <w:rFonts w:ascii="Calibri" w:hAnsi="Calibri" w:eastAsia="黑体"/>
                <w:color w:val="1A1A2E"/>
                <w:sz w:val="18"/>
              </w:rPr>
              <w:t>3,809,054</w:t>
            </w:r>
          </w:p>
        </w:tc>
        <w:tc>
          <w:tcPr>
            <w:tcW w:w="950" w:type="pct"/>
            <w:vAlign w:val="center"/>
          </w:tcPr>
          <w:p w14:paraId="7E561DDE">
            <w:pPr>
              <w:spacing w:before="40" w:after="40" w:line="240" w:lineRule="auto"/>
              <w:jc w:val="right"/>
            </w:pPr>
            <w:r>
              <w:rPr>
                <w:rFonts w:ascii="Calibri" w:hAnsi="Calibri" w:eastAsia="黑体"/>
                <w:color w:val="1A1A2E"/>
                <w:sz w:val="18"/>
              </w:rPr>
              <w:t>+914,746</w:t>
            </w:r>
          </w:p>
        </w:tc>
        <w:tc>
          <w:tcPr>
            <w:tcW w:w="950" w:type="pct"/>
            <w:vAlign w:val="center"/>
          </w:tcPr>
          <w:p w14:paraId="48C4C529">
            <w:pPr>
              <w:spacing w:before="40" w:after="40" w:line="240" w:lineRule="auto"/>
              <w:jc w:val="right"/>
            </w:pPr>
            <w:r>
              <w:rPr>
                <w:rFonts w:ascii="Calibri" w:hAnsi="Calibri" w:eastAsia="黑体"/>
                <w:color w:val="1A1A2E"/>
                <w:sz w:val="18"/>
              </w:rPr>
              <w:t>+31.6%</w:t>
            </w:r>
          </w:p>
        </w:tc>
      </w:tr>
      <w:tr w14:paraId="5C95BB5D">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24150398">
            <w:pPr>
              <w:spacing w:before="40" w:after="40" w:line="240" w:lineRule="auto"/>
            </w:pPr>
            <w:r>
              <w:rPr>
                <w:rFonts w:ascii="Calibri" w:hAnsi="Calibri" w:eastAsia="黑体"/>
                <w:color w:val="1A1A2E"/>
                <w:sz w:val="18"/>
              </w:rPr>
              <w:t>Cost of Revenue</w:t>
            </w:r>
          </w:p>
        </w:tc>
        <w:tc>
          <w:tcPr>
            <w:tcW w:w="950" w:type="pct"/>
            <w:vAlign w:val="center"/>
          </w:tcPr>
          <w:p w14:paraId="5537A33A">
            <w:pPr>
              <w:spacing w:before="40" w:after="40" w:line="240" w:lineRule="auto"/>
              <w:jc w:val="right"/>
            </w:pPr>
            <w:r>
              <w:rPr>
                <w:rFonts w:ascii="Calibri" w:hAnsi="Calibri" w:eastAsia="黑体"/>
                <w:color w:val="1A1A2E"/>
                <w:sz w:val="18"/>
              </w:rPr>
              <w:t>(1,269,954)</w:t>
            </w:r>
          </w:p>
        </w:tc>
        <w:tc>
          <w:tcPr>
            <w:tcW w:w="950" w:type="pct"/>
            <w:vAlign w:val="center"/>
          </w:tcPr>
          <w:p w14:paraId="527DCD13">
            <w:pPr>
              <w:spacing w:before="40" w:after="40" w:line="240" w:lineRule="auto"/>
              <w:jc w:val="right"/>
            </w:pPr>
            <w:r>
              <w:rPr>
                <w:rFonts w:ascii="Calibri" w:hAnsi="Calibri" w:eastAsia="黑体"/>
                <w:color w:val="1A1A2E"/>
                <w:sz w:val="18"/>
              </w:rPr>
              <w:t>(1,527,760)</w:t>
            </w:r>
          </w:p>
        </w:tc>
        <w:tc>
          <w:tcPr>
            <w:tcW w:w="950" w:type="pct"/>
            <w:vAlign w:val="center"/>
          </w:tcPr>
          <w:p w14:paraId="3F31260C">
            <w:pPr>
              <w:spacing w:before="40" w:after="40" w:line="240" w:lineRule="auto"/>
              <w:jc w:val="right"/>
            </w:pPr>
            <w:r>
              <w:rPr>
                <w:rFonts w:ascii="Calibri" w:hAnsi="Calibri" w:eastAsia="黑体"/>
                <w:color w:val="1A1A2E"/>
                <w:sz w:val="18"/>
              </w:rPr>
              <w:t>(257,806)</w:t>
            </w:r>
          </w:p>
        </w:tc>
        <w:tc>
          <w:tcPr>
            <w:tcW w:w="950" w:type="pct"/>
            <w:vAlign w:val="center"/>
          </w:tcPr>
          <w:p w14:paraId="5B8D7386">
            <w:pPr>
              <w:spacing w:before="40" w:after="40" w:line="240" w:lineRule="auto"/>
              <w:jc w:val="right"/>
            </w:pPr>
            <w:r>
              <w:rPr>
                <w:rFonts w:ascii="Calibri" w:hAnsi="Calibri" w:eastAsia="黑体"/>
                <w:color w:val="1A1A2E"/>
                <w:sz w:val="18"/>
              </w:rPr>
              <w:t>+20.3%</w:t>
            </w:r>
          </w:p>
        </w:tc>
      </w:tr>
      <w:tr w14:paraId="27A5AE7C">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7741B6E6">
            <w:pPr>
              <w:spacing w:before="40" w:after="40" w:line="240" w:lineRule="auto"/>
            </w:pPr>
            <w:r>
              <w:rPr>
                <w:rFonts w:ascii="Calibri" w:hAnsi="Calibri" w:eastAsia="黑体"/>
                <w:color w:val="1A1A2E"/>
                <w:sz w:val="18"/>
              </w:rPr>
              <w:t>Gross Profit</w:t>
            </w:r>
          </w:p>
        </w:tc>
        <w:tc>
          <w:tcPr>
            <w:tcW w:w="950" w:type="pct"/>
            <w:vAlign w:val="center"/>
          </w:tcPr>
          <w:p w14:paraId="2F1286C6">
            <w:pPr>
              <w:spacing w:before="40" w:after="40" w:line="240" w:lineRule="auto"/>
              <w:jc w:val="right"/>
            </w:pPr>
            <w:r>
              <w:rPr>
                <w:rFonts w:ascii="Calibri" w:hAnsi="Calibri" w:eastAsia="黑体"/>
                <w:color w:val="1A1A2E"/>
                <w:sz w:val="18"/>
              </w:rPr>
              <w:t>1,624,354</w:t>
            </w:r>
          </w:p>
        </w:tc>
        <w:tc>
          <w:tcPr>
            <w:tcW w:w="950" w:type="pct"/>
            <w:vAlign w:val="center"/>
          </w:tcPr>
          <w:p w14:paraId="74C91F16">
            <w:pPr>
              <w:spacing w:before="40" w:after="40" w:line="240" w:lineRule="auto"/>
              <w:jc w:val="right"/>
            </w:pPr>
            <w:r>
              <w:rPr>
                <w:rFonts w:ascii="Calibri" w:hAnsi="Calibri" w:eastAsia="黑体"/>
                <w:color w:val="1A1A2E"/>
                <w:sz w:val="18"/>
              </w:rPr>
              <w:t>2,281,294</w:t>
            </w:r>
          </w:p>
        </w:tc>
        <w:tc>
          <w:tcPr>
            <w:tcW w:w="950" w:type="pct"/>
            <w:vAlign w:val="center"/>
          </w:tcPr>
          <w:p w14:paraId="62BA81EE">
            <w:pPr>
              <w:spacing w:before="40" w:after="40" w:line="240" w:lineRule="auto"/>
              <w:jc w:val="right"/>
            </w:pPr>
            <w:r>
              <w:rPr>
                <w:rFonts w:ascii="Calibri" w:hAnsi="Calibri" w:eastAsia="黑体"/>
                <w:color w:val="1A1A2E"/>
                <w:sz w:val="18"/>
              </w:rPr>
              <w:t>+656,940</w:t>
            </w:r>
          </w:p>
        </w:tc>
        <w:tc>
          <w:tcPr>
            <w:tcW w:w="950" w:type="pct"/>
            <w:vAlign w:val="center"/>
          </w:tcPr>
          <w:p w14:paraId="281779BA">
            <w:pPr>
              <w:spacing w:before="40" w:after="40" w:line="240" w:lineRule="auto"/>
              <w:jc w:val="right"/>
            </w:pPr>
            <w:r>
              <w:rPr>
                <w:rFonts w:ascii="Calibri" w:hAnsi="Calibri" w:eastAsia="黑体"/>
                <w:color w:val="1A1A2E"/>
                <w:sz w:val="18"/>
              </w:rPr>
              <w:t>+40.4%</w:t>
            </w:r>
          </w:p>
        </w:tc>
      </w:tr>
      <w:tr w14:paraId="6C5820A7">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1A23A3B1">
            <w:pPr>
              <w:spacing w:before="40" w:after="40" w:line="240" w:lineRule="auto"/>
            </w:pPr>
            <w:r>
              <w:rPr>
                <w:rFonts w:ascii="Calibri" w:hAnsi="Calibri" w:eastAsia="黑体"/>
                <w:b/>
                <w:color w:val="1A1A2E"/>
                <w:sz w:val="18"/>
              </w:rPr>
              <w:t>Gross Margin %</w:t>
            </w:r>
          </w:p>
        </w:tc>
        <w:tc>
          <w:tcPr>
            <w:tcW w:w="950" w:type="pct"/>
            <w:vAlign w:val="center"/>
          </w:tcPr>
          <w:p w14:paraId="644B6C34">
            <w:pPr>
              <w:spacing w:before="40" w:after="40" w:line="240" w:lineRule="auto"/>
              <w:jc w:val="right"/>
            </w:pPr>
            <w:r>
              <w:rPr>
                <w:rFonts w:ascii="Calibri" w:hAnsi="Calibri" w:eastAsia="黑体"/>
                <w:b/>
                <w:color w:val="1A1A2E"/>
                <w:sz w:val="18"/>
              </w:rPr>
              <w:t>56.1%</w:t>
            </w:r>
          </w:p>
        </w:tc>
        <w:tc>
          <w:tcPr>
            <w:tcW w:w="950" w:type="pct"/>
            <w:vAlign w:val="center"/>
          </w:tcPr>
          <w:p w14:paraId="3C82FBDB">
            <w:pPr>
              <w:spacing w:before="40" w:after="40" w:line="240" w:lineRule="auto"/>
              <w:jc w:val="right"/>
            </w:pPr>
            <w:r>
              <w:rPr>
                <w:rFonts w:ascii="Calibri" w:hAnsi="Calibri" w:eastAsia="黑体"/>
                <w:b/>
                <w:color w:val="1A1A2E"/>
                <w:sz w:val="18"/>
              </w:rPr>
              <w:t>59.9%</w:t>
            </w:r>
          </w:p>
        </w:tc>
        <w:tc>
          <w:tcPr>
            <w:tcW w:w="950" w:type="pct"/>
            <w:vAlign w:val="center"/>
          </w:tcPr>
          <w:p w14:paraId="0804C8CB">
            <w:pPr>
              <w:spacing w:before="40" w:after="40" w:line="240" w:lineRule="auto"/>
              <w:jc w:val="right"/>
            </w:pPr>
            <w:r>
              <w:rPr>
                <w:rFonts w:ascii="Calibri" w:hAnsi="Calibri" w:eastAsia="黑体"/>
                <w:b/>
                <w:color w:val="1A1A2E"/>
                <w:sz w:val="18"/>
              </w:rPr>
              <w:t>+3.8pp</w:t>
            </w:r>
          </w:p>
        </w:tc>
        <w:tc>
          <w:tcPr>
            <w:tcW w:w="950" w:type="pct"/>
            <w:vAlign w:val="center"/>
          </w:tcPr>
          <w:p w14:paraId="3A97CB1E">
            <w:pPr>
              <w:spacing w:before="40" w:after="40" w:line="240" w:lineRule="auto"/>
              <w:jc w:val="right"/>
            </w:pPr>
          </w:p>
        </w:tc>
      </w:tr>
      <w:tr w14:paraId="022E1375">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0BE98FF2">
            <w:pPr>
              <w:spacing w:before="40" w:after="40" w:line="240" w:lineRule="auto"/>
            </w:pPr>
            <w:r>
              <w:rPr>
                <w:rFonts w:ascii="Calibri" w:hAnsi="Calibri" w:eastAsia="黑体"/>
                <w:color w:val="1A1A2E"/>
                <w:sz w:val="18"/>
              </w:rPr>
              <w:t>Operating Expenses</w:t>
            </w:r>
          </w:p>
        </w:tc>
        <w:tc>
          <w:tcPr>
            <w:tcW w:w="950" w:type="pct"/>
            <w:vAlign w:val="center"/>
          </w:tcPr>
          <w:p w14:paraId="1A43F256">
            <w:pPr>
              <w:spacing w:before="40" w:after="40" w:line="240" w:lineRule="auto"/>
              <w:jc w:val="right"/>
            </w:pPr>
            <w:r>
              <w:rPr>
                <w:rFonts w:ascii="Calibri" w:hAnsi="Calibri" w:eastAsia="黑体"/>
                <w:color w:val="1A1A2E"/>
                <w:sz w:val="18"/>
              </w:rPr>
              <w:t>(301,070)</w:t>
            </w:r>
          </w:p>
        </w:tc>
        <w:tc>
          <w:tcPr>
            <w:tcW w:w="950" w:type="pct"/>
            <w:vAlign w:val="center"/>
          </w:tcPr>
          <w:p w14:paraId="3BB4824B">
            <w:pPr>
              <w:spacing w:before="40" w:after="40" w:line="240" w:lineRule="auto"/>
              <w:jc w:val="right"/>
            </w:pPr>
            <w:r>
              <w:rPr>
                <w:rFonts w:ascii="Calibri" w:hAnsi="Calibri" w:eastAsia="黑体"/>
                <w:color w:val="1A1A2E"/>
                <w:sz w:val="18"/>
              </w:rPr>
              <w:t>(345,650)</w:t>
            </w:r>
          </w:p>
        </w:tc>
        <w:tc>
          <w:tcPr>
            <w:tcW w:w="950" w:type="pct"/>
            <w:vAlign w:val="center"/>
          </w:tcPr>
          <w:p w14:paraId="16F741CD">
            <w:pPr>
              <w:spacing w:before="40" w:after="40" w:line="240" w:lineRule="auto"/>
              <w:jc w:val="right"/>
            </w:pPr>
            <w:r>
              <w:rPr>
                <w:rFonts w:ascii="Calibri" w:hAnsi="Calibri" w:eastAsia="黑体"/>
                <w:color w:val="1A1A2E"/>
                <w:sz w:val="18"/>
              </w:rPr>
              <w:t>(44,580)</w:t>
            </w:r>
          </w:p>
        </w:tc>
        <w:tc>
          <w:tcPr>
            <w:tcW w:w="950" w:type="pct"/>
            <w:vAlign w:val="center"/>
          </w:tcPr>
          <w:p w14:paraId="26A4250C">
            <w:pPr>
              <w:spacing w:before="40" w:after="40" w:line="240" w:lineRule="auto"/>
              <w:jc w:val="right"/>
            </w:pPr>
            <w:r>
              <w:rPr>
                <w:rFonts w:ascii="Calibri" w:hAnsi="Calibri" w:eastAsia="黑体"/>
                <w:color w:val="1A1A2E"/>
                <w:sz w:val="18"/>
              </w:rPr>
              <w:t>+14.8%</w:t>
            </w:r>
          </w:p>
        </w:tc>
      </w:tr>
      <w:tr w14:paraId="712262D3">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3CAD17AA">
            <w:pPr>
              <w:spacing w:before="40" w:after="40" w:line="240" w:lineRule="auto"/>
            </w:pPr>
            <w:r>
              <w:rPr>
                <w:rFonts w:ascii="Calibri" w:hAnsi="Calibri" w:eastAsia="黑体"/>
                <w:color w:val="1A1A2E"/>
                <w:sz w:val="18"/>
              </w:rPr>
              <w:t>Income from Operations</w:t>
            </w:r>
          </w:p>
        </w:tc>
        <w:tc>
          <w:tcPr>
            <w:tcW w:w="950" w:type="pct"/>
            <w:vAlign w:val="center"/>
          </w:tcPr>
          <w:p w14:paraId="5771BC63">
            <w:pPr>
              <w:spacing w:before="40" w:after="40" w:line="240" w:lineRule="auto"/>
              <w:jc w:val="right"/>
            </w:pPr>
            <w:r>
              <w:rPr>
                <w:rFonts w:ascii="Calibri" w:hAnsi="Calibri" w:eastAsia="黑体"/>
                <w:color w:val="1A1A2E"/>
                <w:sz w:val="18"/>
              </w:rPr>
              <w:t>1,323,284</w:t>
            </w:r>
          </w:p>
        </w:tc>
        <w:tc>
          <w:tcPr>
            <w:tcW w:w="950" w:type="pct"/>
            <w:vAlign w:val="center"/>
          </w:tcPr>
          <w:p w14:paraId="4154F476">
            <w:pPr>
              <w:spacing w:before="40" w:after="40" w:line="240" w:lineRule="auto"/>
              <w:jc w:val="right"/>
            </w:pPr>
            <w:r>
              <w:rPr>
                <w:rFonts w:ascii="Calibri" w:hAnsi="Calibri" w:eastAsia="黑体"/>
                <w:color w:val="1A1A2E"/>
                <w:sz w:val="18"/>
              </w:rPr>
              <w:t>1,935,644</w:t>
            </w:r>
          </w:p>
        </w:tc>
        <w:tc>
          <w:tcPr>
            <w:tcW w:w="950" w:type="pct"/>
            <w:vAlign w:val="center"/>
          </w:tcPr>
          <w:p w14:paraId="73332C2E">
            <w:pPr>
              <w:spacing w:before="40" w:after="40" w:line="240" w:lineRule="auto"/>
              <w:jc w:val="right"/>
            </w:pPr>
            <w:r>
              <w:rPr>
                <w:rFonts w:ascii="Calibri" w:hAnsi="Calibri" w:eastAsia="黑体"/>
                <w:color w:val="1A1A2E"/>
                <w:sz w:val="18"/>
              </w:rPr>
              <w:t>+612,360</w:t>
            </w:r>
          </w:p>
        </w:tc>
        <w:tc>
          <w:tcPr>
            <w:tcW w:w="950" w:type="pct"/>
            <w:vAlign w:val="center"/>
          </w:tcPr>
          <w:p w14:paraId="0D32CE56">
            <w:pPr>
              <w:spacing w:before="40" w:after="40" w:line="240" w:lineRule="auto"/>
              <w:jc w:val="right"/>
            </w:pPr>
            <w:r>
              <w:rPr>
                <w:rFonts w:ascii="Calibri" w:hAnsi="Calibri" w:eastAsia="黑体"/>
                <w:color w:val="1A1A2E"/>
                <w:sz w:val="18"/>
              </w:rPr>
              <w:t>+46.3%</w:t>
            </w:r>
          </w:p>
        </w:tc>
      </w:tr>
      <w:tr w14:paraId="556CF1B2">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4F363196">
            <w:pPr>
              <w:spacing w:before="40" w:after="40" w:line="240" w:lineRule="auto"/>
            </w:pPr>
            <w:r>
              <w:rPr>
                <w:rFonts w:ascii="Calibri" w:hAnsi="Calibri" w:eastAsia="黑体"/>
                <w:b/>
                <w:color w:val="1A1A2E"/>
                <w:sz w:val="18"/>
              </w:rPr>
              <w:t>Operating Margin %</w:t>
            </w:r>
          </w:p>
        </w:tc>
        <w:tc>
          <w:tcPr>
            <w:tcW w:w="950" w:type="pct"/>
            <w:vAlign w:val="center"/>
          </w:tcPr>
          <w:p w14:paraId="6D1927C6">
            <w:pPr>
              <w:spacing w:before="40" w:after="40" w:line="240" w:lineRule="auto"/>
              <w:jc w:val="right"/>
            </w:pPr>
            <w:r>
              <w:rPr>
                <w:rFonts w:ascii="Calibri" w:hAnsi="Calibri" w:eastAsia="黑体"/>
                <w:b/>
                <w:color w:val="1A1A2E"/>
                <w:sz w:val="18"/>
              </w:rPr>
              <w:t>45.7%</w:t>
            </w:r>
          </w:p>
        </w:tc>
        <w:tc>
          <w:tcPr>
            <w:tcW w:w="950" w:type="pct"/>
            <w:vAlign w:val="center"/>
          </w:tcPr>
          <w:p w14:paraId="7917C06D">
            <w:pPr>
              <w:spacing w:before="40" w:after="40" w:line="240" w:lineRule="auto"/>
              <w:jc w:val="right"/>
            </w:pPr>
            <w:r>
              <w:rPr>
                <w:rFonts w:ascii="Calibri" w:hAnsi="Calibri" w:eastAsia="黑体"/>
                <w:b/>
                <w:color w:val="1A1A2E"/>
                <w:sz w:val="18"/>
              </w:rPr>
              <w:t>50.8%</w:t>
            </w:r>
          </w:p>
        </w:tc>
        <w:tc>
          <w:tcPr>
            <w:tcW w:w="950" w:type="pct"/>
            <w:vAlign w:val="center"/>
          </w:tcPr>
          <w:p w14:paraId="1F3E0C36">
            <w:pPr>
              <w:spacing w:before="40" w:after="40" w:line="240" w:lineRule="auto"/>
              <w:jc w:val="right"/>
            </w:pPr>
            <w:r>
              <w:rPr>
                <w:rFonts w:ascii="Calibri" w:hAnsi="Calibri" w:eastAsia="黑体"/>
                <w:b/>
                <w:color w:val="1A1A2E"/>
                <w:sz w:val="18"/>
              </w:rPr>
              <w:t>+5.1pp</w:t>
            </w:r>
          </w:p>
        </w:tc>
        <w:tc>
          <w:tcPr>
            <w:tcW w:w="950" w:type="pct"/>
            <w:vAlign w:val="center"/>
          </w:tcPr>
          <w:p w14:paraId="2A673BC6">
            <w:pPr>
              <w:spacing w:before="40" w:after="40" w:line="240" w:lineRule="auto"/>
              <w:jc w:val="right"/>
            </w:pPr>
          </w:p>
        </w:tc>
      </w:tr>
      <w:tr w14:paraId="7A5D3926">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4F81208A">
            <w:pPr>
              <w:spacing w:before="40" w:after="40" w:line="240" w:lineRule="auto"/>
            </w:pPr>
            <w:r>
              <w:rPr>
                <w:rFonts w:ascii="Calibri" w:hAnsi="Calibri" w:eastAsia="黑体"/>
                <w:color w:val="1A1A2E"/>
                <w:sz w:val="18"/>
              </w:rPr>
              <w:t>Net Income</w:t>
            </w:r>
          </w:p>
        </w:tc>
        <w:tc>
          <w:tcPr>
            <w:tcW w:w="950" w:type="pct"/>
            <w:vAlign w:val="center"/>
          </w:tcPr>
          <w:p w14:paraId="27CA3709">
            <w:pPr>
              <w:spacing w:before="40" w:after="40" w:line="240" w:lineRule="auto"/>
              <w:jc w:val="right"/>
            </w:pPr>
            <w:r>
              <w:rPr>
                <w:rFonts w:ascii="Calibri" w:hAnsi="Calibri" w:eastAsia="黑体"/>
                <w:color w:val="1A1A2E"/>
                <w:sz w:val="18"/>
              </w:rPr>
              <w:t>1,172,432</w:t>
            </w:r>
          </w:p>
        </w:tc>
        <w:tc>
          <w:tcPr>
            <w:tcW w:w="950" w:type="pct"/>
            <w:vAlign w:val="center"/>
          </w:tcPr>
          <w:p w14:paraId="13AE1323">
            <w:pPr>
              <w:spacing w:before="40" w:after="40" w:line="240" w:lineRule="auto"/>
              <w:jc w:val="right"/>
            </w:pPr>
            <w:r>
              <w:rPr>
                <w:rFonts w:ascii="Calibri" w:hAnsi="Calibri" w:eastAsia="黑体"/>
                <w:color w:val="1A1A2E"/>
                <w:sz w:val="18"/>
              </w:rPr>
              <w:t>1,715,397</w:t>
            </w:r>
          </w:p>
        </w:tc>
        <w:tc>
          <w:tcPr>
            <w:tcW w:w="950" w:type="pct"/>
            <w:vAlign w:val="center"/>
          </w:tcPr>
          <w:p w14:paraId="1820E867">
            <w:pPr>
              <w:spacing w:before="40" w:after="40" w:line="240" w:lineRule="auto"/>
              <w:jc w:val="right"/>
            </w:pPr>
            <w:r>
              <w:rPr>
                <w:rFonts w:ascii="Calibri" w:hAnsi="Calibri" w:eastAsia="黑体"/>
                <w:color w:val="1A1A2E"/>
                <w:sz w:val="18"/>
              </w:rPr>
              <w:t>+542,965</w:t>
            </w:r>
          </w:p>
        </w:tc>
        <w:tc>
          <w:tcPr>
            <w:tcW w:w="950" w:type="pct"/>
            <w:vAlign w:val="center"/>
          </w:tcPr>
          <w:p w14:paraId="41808438">
            <w:pPr>
              <w:spacing w:before="40" w:after="40" w:line="240" w:lineRule="auto"/>
              <w:jc w:val="right"/>
            </w:pPr>
            <w:r>
              <w:rPr>
                <w:rFonts w:ascii="Calibri" w:hAnsi="Calibri" w:eastAsia="黑体"/>
                <w:color w:val="1A1A2E"/>
                <w:sz w:val="18"/>
              </w:rPr>
              <w:t>+46.3%</w:t>
            </w:r>
          </w:p>
        </w:tc>
      </w:tr>
      <w:tr w14:paraId="1B48C492">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65665AB8">
            <w:pPr>
              <w:spacing w:before="40" w:after="40" w:line="240" w:lineRule="auto"/>
            </w:pPr>
            <w:r>
              <w:rPr>
                <w:rFonts w:ascii="Calibri" w:hAnsi="Calibri" w:eastAsia="黑体"/>
                <w:b/>
                <w:color w:val="1A1A2E"/>
                <w:sz w:val="18"/>
              </w:rPr>
              <w:t>Net Margin %</w:t>
            </w:r>
          </w:p>
        </w:tc>
        <w:tc>
          <w:tcPr>
            <w:tcW w:w="950" w:type="pct"/>
            <w:vAlign w:val="center"/>
          </w:tcPr>
          <w:p w14:paraId="22B31EAF">
            <w:pPr>
              <w:spacing w:before="40" w:after="40" w:line="240" w:lineRule="auto"/>
              <w:jc w:val="right"/>
            </w:pPr>
            <w:r>
              <w:rPr>
                <w:rFonts w:ascii="Calibri" w:hAnsi="Calibri" w:eastAsia="黑体"/>
                <w:b/>
                <w:color w:val="1A1A2E"/>
                <w:sz w:val="18"/>
              </w:rPr>
              <w:t>40.5%</w:t>
            </w:r>
          </w:p>
        </w:tc>
        <w:tc>
          <w:tcPr>
            <w:tcW w:w="950" w:type="pct"/>
            <w:vAlign w:val="center"/>
          </w:tcPr>
          <w:p w14:paraId="4CACF13F">
            <w:pPr>
              <w:spacing w:before="40" w:after="40" w:line="240" w:lineRule="auto"/>
              <w:jc w:val="right"/>
            </w:pPr>
            <w:r>
              <w:rPr>
                <w:rFonts w:ascii="Calibri" w:hAnsi="Calibri" w:eastAsia="黑体"/>
                <w:b/>
                <w:color w:val="1A1A2E"/>
                <w:sz w:val="18"/>
              </w:rPr>
              <w:t>45.0%</w:t>
            </w:r>
          </w:p>
        </w:tc>
        <w:tc>
          <w:tcPr>
            <w:tcW w:w="950" w:type="pct"/>
            <w:vAlign w:val="center"/>
          </w:tcPr>
          <w:p w14:paraId="21AFD747">
            <w:pPr>
              <w:spacing w:before="40" w:after="40" w:line="240" w:lineRule="auto"/>
              <w:jc w:val="right"/>
            </w:pPr>
            <w:r>
              <w:rPr>
                <w:rFonts w:ascii="Calibri" w:hAnsi="Calibri" w:eastAsia="黑体"/>
                <w:b/>
                <w:color w:val="1A1A2E"/>
                <w:sz w:val="18"/>
              </w:rPr>
              <w:t>+4.5pp</w:t>
            </w:r>
          </w:p>
        </w:tc>
        <w:tc>
          <w:tcPr>
            <w:tcW w:w="950" w:type="pct"/>
            <w:vAlign w:val="center"/>
          </w:tcPr>
          <w:p w14:paraId="71E28D04">
            <w:pPr>
              <w:spacing w:before="40" w:after="40" w:line="240" w:lineRule="auto"/>
              <w:jc w:val="right"/>
            </w:pPr>
          </w:p>
        </w:tc>
      </w:tr>
      <w:tr w14:paraId="25CFAA6A">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51A9E117">
            <w:pPr>
              <w:spacing w:before="40" w:after="40" w:line="240" w:lineRule="auto"/>
            </w:pPr>
            <w:r>
              <w:rPr>
                <w:rFonts w:ascii="Calibri" w:hAnsi="Calibri" w:eastAsia="黑体"/>
                <w:b/>
                <w:color w:val="1A1A2E"/>
                <w:sz w:val="18"/>
              </w:rPr>
              <w:t>Basic EPS (NT$)</w:t>
            </w:r>
          </w:p>
        </w:tc>
        <w:tc>
          <w:tcPr>
            <w:tcW w:w="950" w:type="pct"/>
            <w:vAlign w:val="center"/>
          </w:tcPr>
          <w:p w14:paraId="7D2D1734">
            <w:pPr>
              <w:spacing w:before="40" w:after="40" w:line="240" w:lineRule="auto"/>
              <w:jc w:val="right"/>
            </w:pPr>
            <w:r>
              <w:rPr>
                <w:rFonts w:ascii="Calibri" w:hAnsi="Calibri" w:eastAsia="黑体"/>
                <w:b/>
                <w:color w:val="1A1A2E"/>
                <w:sz w:val="18"/>
              </w:rPr>
              <w:t>45.25</w:t>
            </w:r>
          </w:p>
        </w:tc>
        <w:tc>
          <w:tcPr>
            <w:tcW w:w="950" w:type="pct"/>
            <w:vAlign w:val="center"/>
          </w:tcPr>
          <w:p w14:paraId="45E01CA7">
            <w:pPr>
              <w:spacing w:before="40" w:after="40" w:line="240" w:lineRule="auto"/>
              <w:jc w:val="right"/>
            </w:pPr>
            <w:r>
              <w:rPr>
                <w:rFonts w:ascii="Calibri" w:hAnsi="Calibri" w:eastAsia="黑体"/>
                <w:b/>
                <w:color w:val="1A1A2E"/>
                <w:sz w:val="18"/>
              </w:rPr>
              <w:t>66.26</w:t>
            </w:r>
          </w:p>
        </w:tc>
        <w:tc>
          <w:tcPr>
            <w:tcW w:w="950" w:type="pct"/>
            <w:vAlign w:val="center"/>
          </w:tcPr>
          <w:p w14:paraId="41B808C3">
            <w:pPr>
              <w:spacing w:before="40" w:after="40" w:line="240" w:lineRule="auto"/>
              <w:jc w:val="right"/>
            </w:pPr>
            <w:r>
              <w:rPr>
                <w:rFonts w:ascii="Calibri" w:hAnsi="Calibri" w:eastAsia="黑体"/>
                <w:b/>
                <w:color w:val="1A1A2E"/>
                <w:sz w:val="18"/>
              </w:rPr>
              <w:t>+21.01</w:t>
            </w:r>
          </w:p>
        </w:tc>
        <w:tc>
          <w:tcPr>
            <w:tcW w:w="950" w:type="pct"/>
            <w:vAlign w:val="center"/>
          </w:tcPr>
          <w:p w14:paraId="4C34EF5D">
            <w:pPr>
              <w:spacing w:before="40" w:after="40" w:line="240" w:lineRule="auto"/>
              <w:jc w:val="right"/>
            </w:pPr>
            <w:r>
              <w:rPr>
                <w:rFonts w:ascii="Calibri" w:hAnsi="Calibri" w:eastAsia="黑体"/>
                <w:b/>
                <w:color w:val="1A1A2E"/>
                <w:sz w:val="18"/>
              </w:rPr>
              <w:t>+46.4%</w:t>
            </w:r>
          </w:p>
        </w:tc>
      </w:tr>
    </w:tbl>
    <w:p w14:paraId="2AC96001">
      <w:pPr>
        <w:spacing w:before="80" w:after="120" w:line="276" w:lineRule="auto"/>
        <w:jc w:val="both"/>
      </w:pPr>
    </w:p>
    <w:p w14:paraId="0A74C262">
      <w:pPr>
        <w:jc w:val="center"/>
      </w:pPr>
      <w:r>
        <w:drawing>
          <wp:inline distT="0" distB="0" distL="0" distR="0">
            <wp:extent cx="5499735" cy="2999740"/>
            <wp:effectExtent l="0" t="0" r="0" b="0"/>
            <wp:docPr id="1759501774" name="inlin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01774" name="inline-100"/>
                    <pic:cNvPicPr>
                      <a:picLocks noChangeAspect="1"/>
                    </pic:cNvPicPr>
                  </pic:nvPicPr>
                  <pic:blipFill>
                    <a:blip r:embed="rId7"/>
                    <a:stretch>
                      <a:fillRect/>
                    </a:stretch>
                  </pic:blipFill>
                  <pic:spPr>
                    <a:xfrm>
                      <a:off x="0" y="0"/>
                      <a:ext cx="5500000" cy="3000000"/>
                    </a:xfrm>
                    <a:prstGeom prst="rect">
                      <a:avLst/>
                    </a:prstGeom>
                  </pic:spPr>
                </pic:pic>
              </a:graphicData>
            </a:graphic>
          </wp:inline>
        </w:drawing>
      </w:r>
    </w:p>
    <w:p w14:paraId="3C51F009">
      <w:pPr>
        <w:spacing w:before="80" w:after="120" w:line="276" w:lineRule="auto"/>
        <w:jc w:val="both"/>
      </w:pPr>
      <w:r>
        <w:rPr>
          <w:rFonts w:ascii="Calibri" w:hAnsi="Calibri" w:eastAsia="黑体"/>
          <w:color w:val="1A1A2E"/>
          <w:sz w:val="21"/>
        </w:rPr>
        <w:t>Gross profit increased NT$656.9B (+40.4% YoY) to NT$2,281.3B, driven by higher revenue and improved product mix. Gross margin expanded 380bps to 59.9%, reflecting operating leverage from advanced node utilization. Cost of revenue per wafer declined as 7nm utilization improved, while 5nm and 3nm commanded premium pricing.</w:t>
      </w:r>
    </w:p>
    <w:p w14:paraId="2E725938">
      <w:pPr>
        <w:spacing w:before="80" w:after="120" w:line="276" w:lineRule="auto"/>
        <w:jc w:val="both"/>
      </w:pPr>
      <w:r>
        <w:rPr>
          <w:rFonts w:ascii="Calibri" w:hAnsi="Calibri" w:eastAsia="黑体"/>
          <w:color w:val="1A1A2E"/>
          <w:sz w:val="21"/>
        </w:rPr>
        <w:t>Operating expenses increased NT$44.6B to NT$345.7B (+14.8% YoY), but declined as a percentage of revenue from 10.4% to 9.1%. This positive operating leverage drove operating income growth of 46.3% to NT$1,935.6B, with operating margin expanding 510bps to 50.8%.</w:t>
      </w:r>
    </w:p>
    <w:p w14:paraId="73D58BE9">
      <w:pPr>
        <w:spacing w:before="80" w:after="120" w:line="276" w:lineRule="auto"/>
        <w:jc w:val="both"/>
      </w:pPr>
      <w:r>
        <w:rPr>
          <w:rFonts w:ascii="Calibri" w:hAnsi="Calibri" w:eastAsia="黑体"/>
          <w:color w:val="1A1A2E"/>
          <w:sz w:val="21"/>
        </w:rPr>
        <w:t>Net income surged 46.3% to NT$1,715.4B, yielding a net margin of 45.0% (vs 40.5% in FY2024A). Basic EPS of NT$66.26 represents 46.4% growth from NT$45.25 in FY2024A, driven by both net income growth and share repurchases (25.9B shares outstanding, down from 25.9B).</w:t>
      </w:r>
    </w:p>
    <w:p w14:paraId="6265704A">
      <w:pPr>
        <w:spacing w:before="80" w:after="120" w:line="276" w:lineRule="auto"/>
        <w:jc w:val="both"/>
      </w:pPr>
    </w:p>
    <w:p w14:paraId="6891B074">
      <w:pPr>
        <w:jc w:val="center"/>
      </w:pPr>
      <w:r>
        <w:drawing>
          <wp:inline distT="0" distB="0" distL="0" distR="0">
            <wp:extent cx="5499735" cy="2699385"/>
            <wp:effectExtent l="0" t="0" r="0" b="0"/>
            <wp:docPr id="2134013656" name="inlin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13656" name="inline-100"/>
                    <pic:cNvPicPr>
                      <a:picLocks noChangeAspect="1"/>
                    </pic:cNvPicPr>
                  </pic:nvPicPr>
                  <pic:blipFill>
                    <a:blip r:embed="rId8"/>
                    <a:stretch>
                      <a:fillRect/>
                    </a:stretch>
                  </pic:blipFill>
                  <pic:spPr>
                    <a:xfrm>
                      <a:off x="0" y="0"/>
                      <a:ext cx="5500000" cy="2700000"/>
                    </a:xfrm>
                    <a:prstGeom prst="rect">
                      <a:avLst/>
                    </a:prstGeom>
                  </pic:spPr>
                </pic:pic>
              </a:graphicData>
            </a:graphic>
          </wp:inline>
        </w:drawing>
      </w:r>
    </w:p>
    <w:p w14:paraId="382B4FB9">
      <w:pPr>
        <w:keepNext/>
        <w:spacing w:before="240" w:after="120" w:line="240" w:lineRule="auto"/>
        <w:outlineLvl w:val="1"/>
      </w:pPr>
      <w:r>
        <w:rPr>
          <w:rFonts w:ascii="Calibri" w:hAnsi="Calibri" w:eastAsia="黑体"/>
          <w:b/>
          <w:color w:val="3D405B"/>
          <w:sz w:val="24"/>
        </w:rPr>
        <w:t>Cash Flow &amp; Capital Allocation</w:t>
      </w:r>
    </w:p>
    <w:p w14:paraId="709E302A">
      <w:pPr>
        <w:spacing w:before="80" w:after="120" w:line="276" w:lineRule="auto"/>
        <w:jc w:val="both"/>
      </w:pPr>
      <w:r>
        <w:rPr>
          <w:rFonts w:ascii="Calibri" w:hAnsi="Calibri" w:eastAsia="黑体"/>
          <w:color w:val="1A1A2E"/>
          <w:sz w:val="21"/>
        </w:rPr>
        <w:t>Operating cash flow reached NT$2,275.0B (+24.6% YoY), generating a 4.6% FCF yield. Capital expenditures totaled NT$1,272.4B (+33.1% YoY), reflecting aggressive capacity expansion for advanced nodes. TSMC maintained its dividend, increasing DPS to NT$22 (+29.4% YoY), demonstrating commitment to shareholder returns while funding growth.</w:t>
      </w:r>
    </w:p>
    <w:p w14:paraId="7FAAB1CA">
      <w:r>
        <w:br w:type="page"/>
      </w:r>
    </w:p>
    <w:p w14:paraId="5273A039">
      <w:pPr>
        <w:keepNext/>
        <w:spacing w:before="360" w:line="240" w:lineRule="auto"/>
        <w:outlineLvl w:val="0"/>
      </w:pPr>
      <w:r>
        <w:rPr>
          <w:rFonts w:ascii="Calibri" w:hAnsi="Calibri" w:eastAsia="黑体"/>
          <w:b/>
          <w:color w:val="3D405B"/>
          <w:sz w:val="32"/>
        </w:rPr>
        <w:t>4. Revenue Forecast &amp; Assumptions</w:t>
      </w:r>
    </w:p>
    <w:p w14:paraId="38D67EB4">
      <w:pPr>
        <w:spacing w:before="80" w:after="120" w:line="276" w:lineRule="auto"/>
        <w:jc w:val="both"/>
      </w:pPr>
      <w:r>
        <w:rPr>
          <w:rFonts w:ascii="Calibri" w:hAnsi="Calibri" w:eastAsia="黑体"/>
          <w:color w:val="1A1A2E"/>
          <w:sz w:val="21"/>
        </w:rPr>
        <w:t>We project TSMC's total revenue will grow at an 18.2% CAGR from FY2025A to FY2028E, reaching NT$6,283.8B under our Base case scenario. This implies revenue will exceed NT$6 trillion for the first time in FY2028E.</w:t>
      </w:r>
    </w:p>
    <w:p w14:paraId="17C78A9F">
      <w:pPr>
        <w:keepNext/>
        <w:spacing w:before="240" w:after="120" w:line="240" w:lineRule="auto"/>
        <w:outlineLvl w:val="1"/>
      </w:pPr>
      <w:r>
        <w:rPr>
          <w:rFonts w:ascii="Calibri" w:hAnsi="Calibri" w:eastAsia="黑体"/>
          <w:b/>
          <w:color w:val="3D405B"/>
          <w:sz w:val="24"/>
        </w:rPr>
        <w:t>Segment-by-Segment Projections</w:t>
      </w:r>
    </w:p>
    <w:p w14:paraId="5D1DB753">
      <w:pPr>
        <w:spacing w:before="80" w:after="120" w:line="276" w:lineRule="auto"/>
        <w:jc w:val="both"/>
      </w:pPr>
      <w:r>
        <w:rPr>
          <w:rFonts w:ascii="Calibri" w:hAnsi="Calibri" w:eastAsia="黑体"/>
          <w:color w:val="1A1A2E"/>
          <w:sz w:val="21"/>
        </w:rPr>
        <w:t>HPC is the primary growth driver, projected to grow at a 24.9% CAGR to NT$4,276.2B by FY2028E. This assumes: (1) continued AI accelerator demand from hyperscalers (Microsoft, Google, Amazon, Meta) for training clusters; (2) custom Silicon Tape-Out revenue from Apple's Neural Engine and future AI chips; (3) CoWoS advanced packaging revenue for HBM integration; and (4) AMD EPYC server CPU market share gains against Intel.</w:t>
      </w:r>
    </w:p>
    <w:p w14:paraId="580EC285">
      <w:pPr>
        <w:spacing w:before="80" w:after="120" w:line="276" w:lineRule="auto"/>
        <w:jc w:val="both"/>
      </w:pPr>
      <w:r>
        <w:rPr>
          <w:rFonts w:ascii="Calibri" w:hAnsi="Calibri" w:eastAsia="黑体"/>
          <w:color w:val="1A1A2E"/>
          <w:sz w:val="21"/>
        </w:rPr>
        <w:t>Smartphone growth moderates to 6.0% CAGR as the 5G upgrade cycle matures. We project revenue reaching NT$1,335.2B by FY2028E, driven by: (1) Apple's A-series and M-series processor orders for iPhone and Mac; (2) Qualcomm Snapdragon 8-series for Android flagships; and (3) 3nm/2nm node ASP increases offsetting unit growth.</w:t>
      </w:r>
    </w:p>
    <w:p w14:paraId="49493A36">
      <w:pPr>
        <w:spacing w:before="80" w:after="120" w:line="276" w:lineRule="auto"/>
        <w:jc w:val="both"/>
      </w:pPr>
      <w:r>
        <w:rPr>
          <w:rFonts w:ascii="Calibri" w:hAnsi="Calibri" w:eastAsia="黑体"/>
          <w:color w:val="1A1A2E"/>
          <w:sz w:val="21"/>
        </w:rPr>
        <w:t>Other platforms (IoT, Automotive, DCE, Others) grow at a 10.0% CAGR to NT$672.3B by FY2028E, driven by: (1) automotive semiconductor content increase per vehicle (EV/ADAS); (2) IoT proliferation in smart home/industrial; and (3) AR/VR chip demand.</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1998"/>
        <w:gridCol w:w="1582"/>
        <w:gridCol w:w="1582"/>
        <w:gridCol w:w="1582"/>
        <w:gridCol w:w="1582"/>
      </w:tblGrid>
      <w:tr w14:paraId="21EB6DC8">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shd w:val="clear" w:color="auto" w:fill="5C5C5C"/>
            <w:vAlign w:val="center"/>
          </w:tcPr>
          <w:p w14:paraId="194B17EA">
            <w:pPr>
              <w:spacing w:before="60" w:after="60" w:line="240" w:lineRule="auto"/>
              <w:jc w:val="center"/>
            </w:pPr>
            <w:r>
              <w:rPr>
                <w:rFonts w:ascii="Calibri" w:hAnsi="Calibri" w:eastAsia="黑体"/>
                <w:b/>
                <w:color w:val="1A1A2E"/>
                <w:sz w:val="18"/>
              </w:rPr>
              <w:t>Revenue Scenario</w:t>
            </w:r>
          </w:p>
        </w:tc>
        <w:tc>
          <w:tcPr>
            <w:tcW w:w="950" w:type="pct"/>
            <w:shd w:val="clear" w:color="auto" w:fill="5C5C5C"/>
            <w:vAlign w:val="center"/>
          </w:tcPr>
          <w:p w14:paraId="70E12DDE">
            <w:pPr>
              <w:spacing w:before="60" w:after="60" w:line="240" w:lineRule="auto"/>
              <w:jc w:val="center"/>
            </w:pPr>
            <w:r>
              <w:rPr>
                <w:rFonts w:ascii="Calibri" w:hAnsi="Calibri" w:eastAsia="黑体"/>
                <w:b/>
                <w:color w:val="1A1A2E"/>
                <w:sz w:val="18"/>
              </w:rPr>
              <w:t>FY2026E</w:t>
            </w:r>
          </w:p>
        </w:tc>
        <w:tc>
          <w:tcPr>
            <w:tcW w:w="950" w:type="pct"/>
            <w:shd w:val="clear" w:color="auto" w:fill="5C5C5C"/>
            <w:vAlign w:val="center"/>
          </w:tcPr>
          <w:p w14:paraId="09A990E4">
            <w:pPr>
              <w:spacing w:before="60" w:after="60" w:line="240" w:lineRule="auto"/>
              <w:jc w:val="center"/>
            </w:pPr>
            <w:r>
              <w:rPr>
                <w:rFonts w:ascii="Calibri" w:hAnsi="Calibri" w:eastAsia="黑体"/>
                <w:b/>
                <w:color w:val="1A1A2E"/>
                <w:sz w:val="18"/>
              </w:rPr>
              <w:t>FY2027E</w:t>
            </w:r>
          </w:p>
        </w:tc>
        <w:tc>
          <w:tcPr>
            <w:tcW w:w="950" w:type="pct"/>
            <w:shd w:val="clear" w:color="auto" w:fill="5C5C5C"/>
            <w:vAlign w:val="center"/>
          </w:tcPr>
          <w:p w14:paraId="49283C3E">
            <w:pPr>
              <w:spacing w:before="60" w:after="60" w:line="240" w:lineRule="auto"/>
              <w:jc w:val="center"/>
            </w:pPr>
            <w:r>
              <w:rPr>
                <w:rFonts w:ascii="Calibri" w:hAnsi="Calibri" w:eastAsia="黑体"/>
                <w:b/>
                <w:color w:val="1A1A2E"/>
                <w:sz w:val="18"/>
              </w:rPr>
              <w:t>FY2028E</w:t>
            </w:r>
          </w:p>
        </w:tc>
        <w:tc>
          <w:tcPr>
            <w:tcW w:w="950" w:type="pct"/>
            <w:shd w:val="clear" w:color="auto" w:fill="5C5C5C"/>
            <w:vAlign w:val="center"/>
          </w:tcPr>
          <w:p w14:paraId="279BDFF4">
            <w:pPr>
              <w:spacing w:before="60" w:after="60" w:line="240" w:lineRule="auto"/>
              <w:jc w:val="center"/>
            </w:pPr>
            <w:r>
              <w:rPr>
                <w:rFonts w:ascii="Calibri" w:hAnsi="Calibri" w:eastAsia="黑体"/>
                <w:b/>
                <w:color w:val="1A1A2E"/>
                <w:sz w:val="18"/>
              </w:rPr>
              <w:t>CAGR</w:t>
            </w:r>
          </w:p>
        </w:tc>
      </w:tr>
      <w:tr w14:paraId="160189C0">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5FDF58D6">
            <w:pPr>
              <w:spacing w:before="40" w:after="40" w:line="240" w:lineRule="auto"/>
            </w:pPr>
            <w:r>
              <w:rPr>
                <w:rFonts w:ascii="Calibri" w:hAnsi="Calibri" w:eastAsia="黑体"/>
                <w:color w:val="1A1A2E"/>
                <w:sz w:val="18"/>
              </w:rPr>
              <w:t>Bear Case</w:t>
            </w:r>
          </w:p>
        </w:tc>
        <w:tc>
          <w:tcPr>
            <w:tcW w:w="950" w:type="pct"/>
            <w:vAlign w:val="center"/>
          </w:tcPr>
          <w:p w14:paraId="165FF903">
            <w:pPr>
              <w:spacing w:before="40" w:after="40" w:line="240" w:lineRule="auto"/>
              <w:jc w:val="right"/>
            </w:pPr>
            <w:r>
              <w:rPr>
                <w:rFonts w:ascii="Calibri" w:hAnsi="Calibri" w:eastAsia="黑体"/>
                <w:color w:val="1A1A2E"/>
                <w:sz w:val="18"/>
              </w:rPr>
              <w:t>4,070,000</w:t>
            </w:r>
          </w:p>
        </w:tc>
        <w:tc>
          <w:tcPr>
            <w:tcW w:w="950" w:type="pct"/>
            <w:vAlign w:val="center"/>
          </w:tcPr>
          <w:p w14:paraId="7AE0B7CF">
            <w:pPr>
              <w:spacing w:before="40" w:after="40" w:line="240" w:lineRule="auto"/>
              <w:jc w:val="right"/>
            </w:pPr>
            <w:r>
              <w:rPr>
                <w:rFonts w:ascii="Calibri" w:hAnsi="Calibri" w:eastAsia="黑体"/>
                <w:color w:val="1A1A2E"/>
                <w:sz w:val="18"/>
              </w:rPr>
              <w:t>4,600,000</w:t>
            </w:r>
          </w:p>
        </w:tc>
        <w:tc>
          <w:tcPr>
            <w:tcW w:w="950" w:type="pct"/>
            <w:vAlign w:val="center"/>
          </w:tcPr>
          <w:p w14:paraId="19F88A98">
            <w:pPr>
              <w:spacing w:before="40" w:after="40" w:line="240" w:lineRule="auto"/>
              <w:jc w:val="right"/>
            </w:pPr>
            <w:r>
              <w:rPr>
                <w:rFonts w:ascii="Calibri" w:hAnsi="Calibri" w:eastAsia="黑体"/>
                <w:color w:val="1A1A2E"/>
                <w:sz w:val="18"/>
              </w:rPr>
              <w:t>5,148,107</w:t>
            </w:r>
          </w:p>
        </w:tc>
        <w:tc>
          <w:tcPr>
            <w:tcW w:w="950" w:type="pct"/>
            <w:vAlign w:val="center"/>
          </w:tcPr>
          <w:p w14:paraId="6EE9AF93">
            <w:pPr>
              <w:spacing w:before="40" w:after="40" w:line="240" w:lineRule="auto"/>
              <w:jc w:val="right"/>
            </w:pPr>
            <w:r>
              <w:rPr>
                <w:rFonts w:ascii="Calibri" w:hAnsi="Calibri" w:eastAsia="黑体"/>
                <w:color w:val="1A1A2E"/>
                <w:sz w:val="18"/>
              </w:rPr>
              <w:t>10.6%</w:t>
            </w:r>
          </w:p>
        </w:tc>
      </w:tr>
      <w:tr w14:paraId="48E32EA1">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540E3B14">
            <w:pPr>
              <w:spacing w:before="40" w:after="40" w:line="240" w:lineRule="auto"/>
            </w:pPr>
            <w:r>
              <w:rPr>
                <w:rFonts w:ascii="Calibri" w:hAnsi="Calibri" w:eastAsia="黑体"/>
                <w:b/>
                <w:color w:val="1A1A2E"/>
                <w:sz w:val="18"/>
              </w:rPr>
              <w:t>Base Case (Selected)</w:t>
            </w:r>
          </w:p>
        </w:tc>
        <w:tc>
          <w:tcPr>
            <w:tcW w:w="950" w:type="pct"/>
            <w:vAlign w:val="center"/>
          </w:tcPr>
          <w:p w14:paraId="40FD4E2D">
            <w:pPr>
              <w:spacing w:before="40" w:after="40" w:line="240" w:lineRule="auto"/>
              <w:jc w:val="right"/>
            </w:pPr>
            <w:r>
              <w:rPr>
                <w:rFonts w:ascii="Calibri" w:hAnsi="Calibri" w:eastAsia="黑体"/>
                <w:b/>
                <w:color w:val="1A1A2E"/>
                <w:sz w:val="18"/>
              </w:rPr>
              <w:t>4,616,435</w:t>
            </w:r>
          </w:p>
        </w:tc>
        <w:tc>
          <w:tcPr>
            <w:tcW w:w="950" w:type="pct"/>
            <w:vAlign w:val="center"/>
          </w:tcPr>
          <w:p w14:paraId="50ACDB01">
            <w:pPr>
              <w:spacing w:before="40" w:after="40" w:line="240" w:lineRule="auto"/>
              <w:jc w:val="right"/>
            </w:pPr>
            <w:r>
              <w:rPr>
                <w:rFonts w:ascii="Calibri" w:hAnsi="Calibri" w:eastAsia="黑体"/>
                <w:b/>
                <w:color w:val="1A1A2E"/>
                <w:sz w:val="18"/>
              </w:rPr>
              <w:t>5,457,713</w:t>
            </w:r>
          </w:p>
        </w:tc>
        <w:tc>
          <w:tcPr>
            <w:tcW w:w="950" w:type="pct"/>
            <w:vAlign w:val="center"/>
          </w:tcPr>
          <w:p w14:paraId="125A9A38">
            <w:pPr>
              <w:spacing w:before="40" w:after="40" w:line="240" w:lineRule="auto"/>
              <w:jc w:val="right"/>
            </w:pPr>
            <w:r>
              <w:rPr>
                <w:rFonts w:ascii="Calibri" w:hAnsi="Calibri" w:eastAsia="黑体"/>
                <w:b/>
                <w:color w:val="1A1A2E"/>
                <w:sz w:val="18"/>
              </w:rPr>
              <w:t>6,283,802</w:t>
            </w:r>
          </w:p>
        </w:tc>
        <w:tc>
          <w:tcPr>
            <w:tcW w:w="950" w:type="pct"/>
            <w:vAlign w:val="center"/>
          </w:tcPr>
          <w:p w14:paraId="38DB1C8D">
            <w:pPr>
              <w:spacing w:before="40" w:after="40" w:line="240" w:lineRule="auto"/>
              <w:jc w:val="right"/>
            </w:pPr>
            <w:r>
              <w:rPr>
                <w:rFonts w:ascii="Calibri" w:hAnsi="Calibri" w:eastAsia="黑体"/>
                <w:b/>
                <w:color w:val="1A1A2E"/>
                <w:sz w:val="18"/>
              </w:rPr>
              <w:t>18.2%</w:t>
            </w:r>
          </w:p>
        </w:tc>
      </w:tr>
      <w:tr w14:paraId="743EA868">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4E80B56C">
            <w:pPr>
              <w:spacing w:before="40" w:after="40" w:line="240" w:lineRule="auto"/>
            </w:pPr>
            <w:r>
              <w:rPr>
                <w:rFonts w:ascii="Calibri" w:hAnsi="Calibri" w:eastAsia="黑体"/>
                <w:color w:val="1A1A2E"/>
                <w:sz w:val="18"/>
              </w:rPr>
              <w:t>Bull Case</w:t>
            </w:r>
          </w:p>
        </w:tc>
        <w:tc>
          <w:tcPr>
            <w:tcW w:w="950" w:type="pct"/>
            <w:vAlign w:val="center"/>
          </w:tcPr>
          <w:p w14:paraId="3ABCCF65">
            <w:pPr>
              <w:spacing w:before="40" w:after="40" w:line="240" w:lineRule="auto"/>
              <w:jc w:val="right"/>
            </w:pPr>
            <w:r>
              <w:rPr>
                <w:rFonts w:ascii="Calibri" w:hAnsi="Calibri" w:eastAsia="黑体"/>
                <w:color w:val="1A1A2E"/>
                <w:sz w:val="18"/>
              </w:rPr>
              <w:t>5,100,000</w:t>
            </w:r>
          </w:p>
        </w:tc>
        <w:tc>
          <w:tcPr>
            <w:tcW w:w="950" w:type="pct"/>
            <w:vAlign w:val="center"/>
          </w:tcPr>
          <w:p w14:paraId="786D2364">
            <w:pPr>
              <w:spacing w:before="40" w:after="40" w:line="240" w:lineRule="auto"/>
              <w:jc w:val="right"/>
            </w:pPr>
            <w:r>
              <w:rPr>
                <w:rFonts w:ascii="Calibri" w:hAnsi="Calibri" w:eastAsia="黑体"/>
                <w:color w:val="1A1A2E"/>
                <w:sz w:val="18"/>
              </w:rPr>
              <w:t>6,200,000</w:t>
            </w:r>
          </w:p>
        </w:tc>
        <w:tc>
          <w:tcPr>
            <w:tcW w:w="950" w:type="pct"/>
            <w:vAlign w:val="center"/>
          </w:tcPr>
          <w:p w14:paraId="0DF39B08">
            <w:pPr>
              <w:spacing w:before="40" w:after="40" w:line="240" w:lineRule="auto"/>
              <w:jc w:val="right"/>
            </w:pPr>
            <w:r>
              <w:rPr>
                <w:rFonts w:ascii="Calibri" w:hAnsi="Calibri" w:eastAsia="黑体"/>
                <w:color w:val="1A1A2E"/>
                <w:sz w:val="18"/>
              </w:rPr>
              <w:t>7,551,132</w:t>
            </w:r>
          </w:p>
        </w:tc>
        <w:tc>
          <w:tcPr>
            <w:tcW w:w="950" w:type="pct"/>
            <w:vAlign w:val="center"/>
          </w:tcPr>
          <w:p w14:paraId="558F445E">
            <w:pPr>
              <w:spacing w:before="40" w:after="40" w:line="240" w:lineRule="auto"/>
              <w:jc w:val="right"/>
            </w:pPr>
            <w:r>
              <w:rPr>
                <w:rFonts w:ascii="Calibri" w:hAnsi="Calibri" w:eastAsia="黑体"/>
                <w:color w:val="1A1A2E"/>
                <w:sz w:val="18"/>
              </w:rPr>
              <w:t>25.6%</w:t>
            </w:r>
          </w:p>
        </w:tc>
      </w:tr>
    </w:tbl>
    <w:p w14:paraId="22CF8AF4">
      <w:pPr>
        <w:spacing w:before="80" w:after="120" w:line="276" w:lineRule="auto"/>
        <w:jc w:val="both"/>
      </w:pPr>
      <w:r>
        <w:rPr>
          <w:rFonts w:ascii="Calibri" w:hAnsi="Calibri" w:eastAsia="黑体"/>
          <w:color w:val="1A1A2E"/>
          <w:sz w:val="21"/>
        </w:rPr>
        <w:t>Bull case (NT$7,551.1B in FY2028E) assumes: (1) AI infrastructure spending accelerates beyond our Base case; (2) TSMC captures additional Apple AI chip orders; (3) N2 ramp exceeds expectations with yields above 80% by mid-FY2027E; and (4) CoWoS capacity constraints ease, enabling more HBM packaging revenue.</w:t>
      </w:r>
    </w:p>
    <w:p w14:paraId="0F127F25">
      <w:pPr>
        <w:spacing w:before="80" w:after="120" w:line="276" w:lineRule="auto"/>
        <w:jc w:val="both"/>
      </w:pPr>
      <w:r>
        <w:rPr>
          <w:rFonts w:ascii="Calibri" w:hAnsi="Calibri" w:eastAsia="黑体"/>
          <w:color w:val="1A1A2E"/>
          <w:sz w:val="21"/>
        </w:rPr>
        <w:t>Bear case (NT$5,148.1B in FY2028E) assumes: (1) AI capex cycle peaks in FY2026E with hyperscalers signaling spending discipline; (2) Samsung's 2nm yields improve faster than expected, pressuring TSMC's ASPs.</w:t>
      </w:r>
    </w:p>
    <w:p w14:paraId="53A47360">
      <w:pPr>
        <w:spacing w:before="80" w:after="120" w:line="276" w:lineRule="auto"/>
        <w:jc w:val="both"/>
      </w:pPr>
    </w:p>
    <w:p w14:paraId="66EB07E8">
      <w:pPr>
        <w:jc w:val="center"/>
      </w:pPr>
      <w:r>
        <w:drawing>
          <wp:inline distT="0" distB="0" distL="0" distR="0">
            <wp:extent cx="5499735" cy="2999740"/>
            <wp:effectExtent l="0" t="0" r="0" b="0"/>
            <wp:docPr id="453439656" name="inlin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39656" name="inline-100"/>
                    <pic:cNvPicPr>
                      <a:picLocks noChangeAspect="1"/>
                    </pic:cNvPicPr>
                  </pic:nvPicPr>
                  <pic:blipFill>
                    <a:blip r:embed="rId9"/>
                    <a:stretch>
                      <a:fillRect/>
                    </a:stretch>
                  </pic:blipFill>
                  <pic:spPr>
                    <a:xfrm>
                      <a:off x="0" y="0"/>
                      <a:ext cx="5500000" cy="3000000"/>
                    </a:xfrm>
                    <a:prstGeom prst="rect">
                      <a:avLst/>
                    </a:prstGeom>
                  </pic:spPr>
                </pic:pic>
              </a:graphicData>
            </a:graphic>
          </wp:inline>
        </w:drawing>
      </w:r>
    </w:p>
    <w:p w14:paraId="619B4DE9">
      <w:r>
        <w:br w:type="page"/>
      </w:r>
    </w:p>
    <w:p w14:paraId="1E08BC70">
      <w:pPr>
        <w:keepNext/>
        <w:spacing w:before="360" w:line="240" w:lineRule="auto"/>
        <w:outlineLvl w:val="0"/>
      </w:pPr>
      <w:r>
        <w:rPr>
          <w:rFonts w:ascii="Calibri" w:hAnsi="Calibri" w:eastAsia="黑体"/>
          <w:b/>
          <w:color w:val="3D405B"/>
          <w:sz w:val="32"/>
        </w:rPr>
        <w:t>5. Margin &amp; Profitability Outlook</w:t>
      </w:r>
    </w:p>
    <w:p w14:paraId="5031D187">
      <w:pPr>
        <w:spacing w:before="80" w:after="120" w:line="276" w:lineRule="auto"/>
        <w:jc w:val="both"/>
      </w:pPr>
      <w:r>
        <w:rPr>
          <w:rFonts w:ascii="Calibri" w:hAnsi="Calibri" w:eastAsia="黑体"/>
          <w:color w:val="1A1A2E"/>
          <w:sz w:val="21"/>
        </w:rPr>
        <w:t>We expect TSMC's gross margin to normalize from the FY2025A peak of 59.9% to 57.0% by FY2028E, as N2 ramp costs offset operating leverage. This 290bps decline is modest compared to historical technology transitions, reflecting TSMC's improved yield management and pricing discipline.</w:t>
      </w:r>
    </w:p>
    <w:p w14:paraId="224014C4">
      <w:pPr>
        <w:keepNext/>
        <w:spacing w:before="240" w:after="120" w:line="240" w:lineRule="auto"/>
        <w:outlineLvl w:val="1"/>
      </w:pPr>
      <w:r>
        <w:rPr>
          <w:rFonts w:ascii="Calibri" w:hAnsi="Calibri" w:eastAsia="黑体"/>
          <w:b/>
          <w:color w:val="3D405B"/>
          <w:sz w:val="24"/>
        </w:rPr>
        <w:t>Margin Trajectory</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1998"/>
        <w:gridCol w:w="1582"/>
        <w:gridCol w:w="1582"/>
        <w:gridCol w:w="1582"/>
        <w:gridCol w:w="1582"/>
      </w:tblGrid>
      <w:tr w14:paraId="4071FE3D">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shd w:val="clear" w:color="auto" w:fill="5C5C5C"/>
            <w:vAlign w:val="center"/>
          </w:tcPr>
          <w:p w14:paraId="0F696C30">
            <w:pPr>
              <w:spacing w:before="60" w:after="60" w:line="240" w:lineRule="auto"/>
              <w:jc w:val="center"/>
            </w:pPr>
            <w:r>
              <w:rPr>
                <w:rFonts w:ascii="Calibri" w:hAnsi="Calibri" w:eastAsia="黑体"/>
                <w:b/>
                <w:color w:val="1A1A2E"/>
                <w:sz w:val="18"/>
              </w:rPr>
              <w:t>Margin Metric</w:t>
            </w:r>
          </w:p>
        </w:tc>
        <w:tc>
          <w:tcPr>
            <w:tcW w:w="950" w:type="pct"/>
            <w:shd w:val="clear" w:color="auto" w:fill="5C5C5C"/>
            <w:vAlign w:val="center"/>
          </w:tcPr>
          <w:p w14:paraId="5A681DC4">
            <w:pPr>
              <w:spacing w:before="60" w:after="60" w:line="240" w:lineRule="auto"/>
              <w:jc w:val="center"/>
            </w:pPr>
            <w:r>
              <w:rPr>
                <w:rFonts w:ascii="Calibri" w:hAnsi="Calibri" w:eastAsia="黑体"/>
                <w:b/>
                <w:color w:val="1A1A2E"/>
                <w:sz w:val="18"/>
              </w:rPr>
              <w:t>FY2025A</w:t>
            </w:r>
          </w:p>
        </w:tc>
        <w:tc>
          <w:tcPr>
            <w:tcW w:w="950" w:type="pct"/>
            <w:shd w:val="clear" w:color="auto" w:fill="5C5C5C"/>
            <w:vAlign w:val="center"/>
          </w:tcPr>
          <w:p w14:paraId="674AC81C">
            <w:pPr>
              <w:spacing w:before="60" w:after="60" w:line="240" w:lineRule="auto"/>
              <w:jc w:val="center"/>
            </w:pPr>
            <w:r>
              <w:rPr>
                <w:rFonts w:ascii="Calibri" w:hAnsi="Calibri" w:eastAsia="黑体"/>
                <w:b/>
                <w:color w:val="1A1A2E"/>
                <w:sz w:val="18"/>
              </w:rPr>
              <w:t>FY2026E</w:t>
            </w:r>
          </w:p>
        </w:tc>
        <w:tc>
          <w:tcPr>
            <w:tcW w:w="950" w:type="pct"/>
            <w:shd w:val="clear" w:color="auto" w:fill="5C5C5C"/>
            <w:vAlign w:val="center"/>
          </w:tcPr>
          <w:p w14:paraId="3AEBC731">
            <w:pPr>
              <w:spacing w:before="60" w:after="60" w:line="240" w:lineRule="auto"/>
              <w:jc w:val="center"/>
            </w:pPr>
            <w:r>
              <w:rPr>
                <w:rFonts w:ascii="Calibri" w:hAnsi="Calibri" w:eastAsia="黑体"/>
                <w:b/>
                <w:color w:val="1A1A2E"/>
                <w:sz w:val="18"/>
              </w:rPr>
              <w:t>FY2027E</w:t>
            </w:r>
          </w:p>
        </w:tc>
        <w:tc>
          <w:tcPr>
            <w:tcW w:w="950" w:type="pct"/>
            <w:shd w:val="clear" w:color="auto" w:fill="5C5C5C"/>
            <w:vAlign w:val="center"/>
          </w:tcPr>
          <w:p w14:paraId="024587A9">
            <w:pPr>
              <w:spacing w:before="60" w:after="60" w:line="240" w:lineRule="auto"/>
              <w:jc w:val="center"/>
            </w:pPr>
            <w:r>
              <w:rPr>
                <w:rFonts w:ascii="Calibri" w:hAnsi="Calibri" w:eastAsia="黑体"/>
                <w:b/>
                <w:color w:val="1A1A2E"/>
                <w:sz w:val="18"/>
              </w:rPr>
              <w:t>FY2028E</w:t>
            </w:r>
          </w:p>
        </w:tc>
      </w:tr>
      <w:tr w14:paraId="0C42FEBB">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70334B91">
            <w:pPr>
              <w:spacing w:before="40" w:after="40" w:line="240" w:lineRule="auto"/>
            </w:pPr>
            <w:r>
              <w:rPr>
                <w:rFonts w:ascii="Calibri" w:hAnsi="Calibri" w:eastAsia="黑体"/>
                <w:color w:val="1A1A2E"/>
                <w:sz w:val="18"/>
              </w:rPr>
              <w:t>Gross Margin %</w:t>
            </w:r>
          </w:p>
        </w:tc>
        <w:tc>
          <w:tcPr>
            <w:tcW w:w="950" w:type="pct"/>
            <w:vAlign w:val="center"/>
          </w:tcPr>
          <w:p w14:paraId="7AE6EF9C">
            <w:pPr>
              <w:spacing w:before="40" w:after="40" w:line="240" w:lineRule="auto"/>
              <w:jc w:val="right"/>
            </w:pPr>
            <w:r>
              <w:rPr>
                <w:rFonts w:ascii="Calibri" w:hAnsi="Calibri" w:eastAsia="黑体"/>
                <w:color w:val="1A1A2E"/>
                <w:sz w:val="18"/>
              </w:rPr>
              <w:t>59.9%</w:t>
            </w:r>
          </w:p>
        </w:tc>
        <w:tc>
          <w:tcPr>
            <w:tcW w:w="950" w:type="pct"/>
            <w:vAlign w:val="center"/>
          </w:tcPr>
          <w:p w14:paraId="08833022">
            <w:pPr>
              <w:spacing w:before="40" w:after="40" w:line="240" w:lineRule="auto"/>
              <w:jc w:val="right"/>
            </w:pPr>
            <w:r>
              <w:rPr>
                <w:rFonts w:ascii="Calibri" w:hAnsi="Calibri" w:eastAsia="黑体"/>
                <w:color w:val="1A1A2E"/>
                <w:sz w:val="18"/>
              </w:rPr>
              <w:t>59.0%</w:t>
            </w:r>
          </w:p>
        </w:tc>
        <w:tc>
          <w:tcPr>
            <w:tcW w:w="950" w:type="pct"/>
            <w:vAlign w:val="center"/>
          </w:tcPr>
          <w:p w14:paraId="2BDA3097">
            <w:pPr>
              <w:spacing w:before="40" w:after="40" w:line="240" w:lineRule="auto"/>
              <w:jc w:val="right"/>
            </w:pPr>
            <w:r>
              <w:rPr>
                <w:rFonts w:ascii="Calibri" w:hAnsi="Calibri" w:eastAsia="黑体"/>
                <w:color w:val="1A1A2E"/>
                <w:sz w:val="18"/>
              </w:rPr>
              <w:t>58.0%</w:t>
            </w:r>
          </w:p>
        </w:tc>
        <w:tc>
          <w:tcPr>
            <w:tcW w:w="950" w:type="pct"/>
            <w:vAlign w:val="center"/>
          </w:tcPr>
          <w:p w14:paraId="6C86D915">
            <w:pPr>
              <w:spacing w:before="40" w:after="40" w:line="240" w:lineRule="auto"/>
              <w:jc w:val="right"/>
            </w:pPr>
            <w:r>
              <w:rPr>
                <w:rFonts w:ascii="Calibri" w:hAnsi="Calibri" w:eastAsia="黑体"/>
                <w:color w:val="1A1A2E"/>
                <w:sz w:val="18"/>
              </w:rPr>
              <w:t>57.0%</w:t>
            </w:r>
          </w:p>
        </w:tc>
      </w:tr>
      <w:tr w14:paraId="3EAAD023">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01330868">
            <w:pPr>
              <w:spacing w:before="40" w:after="40" w:line="240" w:lineRule="auto"/>
            </w:pPr>
            <w:r>
              <w:rPr>
                <w:rFonts w:ascii="Calibri" w:hAnsi="Calibri" w:eastAsia="黑体"/>
                <w:color w:val="1A1A2E"/>
                <w:sz w:val="18"/>
              </w:rPr>
              <w:t>Operating Margin %</w:t>
            </w:r>
          </w:p>
        </w:tc>
        <w:tc>
          <w:tcPr>
            <w:tcW w:w="950" w:type="pct"/>
            <w:vAlign w:val="center"/>
          </w:tcPr>
          <w:p w14:paraId="1DD6214D">
            <w:pPr>
              <w:spacing w:before="40" w:after="40" w:line="240" w:lineRule="auto"/>
              <w:jc w:val="right"/>
            </w:pPr>
            <w:r>
              <w:rPr>
                <w:rFonts w:ascii="Calibri" w:hAnsi="Calibri" w:eastAsia="黑体"/>
                <w:color w:val="1A1A2E"/>
                <w:sz w:val="18"/>
              </w:rPr>
              <w:t>50.8%</w:t>
            </w:r>
          </w:p>
        </w:tc>
        <w:tc>
          <w:tcPr>
            <w:tcW w:w="950" w:type="pct"/>
            <w:vAlign w:val="center"/>
          </w:tcPr>
          <w:p w14:paraId="3AC83E32">
            <w:pPr>
              <w:spacing w:before="40" w:after="40" w:line="240" w:lineRule="auto"/>
              <w:jc w:val="right"/>
            </w:pPr>
            <w:r>
              <w:rPr>
                <w:rFonts w:ascii="Calibri" w:hAnsi="Calibri" w:eastAsia="黑体"/>
                <w:color w:val="1A1A2E"/>
                <w:sz w:val="18"/>
              </w:rPr>
              <w:t>50.0%</w:t>
            </w:r>
          </w:p>
        </w:tc>
        <w:tc>
          <w:tcPr>
            <w:tcW w:w="950" w:type="pct"/>
            <w:vAlign w:val="center"/>
          </w:tcPr>
          <w:p w14:paraId="2F06E47C">
            <w:pPr>
              <w:spacing w:before="40" w:after="40" w:line="240" w:lineRule="auto"/>
              <w:jc w:val="right"/>
            </w:pPr>
            <w:r>
              <w:rPr>
                <w:rFonts w:ascii="Calibri" w:hAnsi="Calibri" w:eastAsia="黑体"/>
                <w:color w:val="1A1A2E"/>
                <w:sz w:val="18"/>
              </w:rPr>
              <w:t>49.0%</w:t>
            </w:r>
          </w:p>
        </w:tc>
        <w:tc>
          <w:tcPr>
            <w:tcW w:w="950" w:type="pct"/>
            <w:vAlign w:val="center"/>
          </w:tcPr>
          <w:p w14:paraId="367842E3">
            <w:pPr>
              <w:spacing w:before="40" w:after="40" w:line="240" w:lineRule="auto"/>
              <w:jc w:val="right"/>
            </w:pPr>
            <w:r>
              <w:rPr>
                <w:rFonts w:ascii="Calibri" w:hAnsi="Calibri" w:eastAsia="黑体"/>
                <w:color w:val="1A1A2E"/>
                <w:sz w:val="18"/>
              </w:rPr>
              <w:t>48.0%</w:t>
            </w:r>
          </w:p>
        </w:tc>
      </w:tr>
      <w:tr w14:paraId="3AF1B707">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39FFA81B">
            <w:pPr>
              <w:spacing w:before="40" w:after="40" w:line="240" w:lineRule="auto"/>
            </w:pPr>
            <w:r>
              <w:rPr>
                <w:rFonts w:ascii="Calibri" w:hAnsi="Calibri" w:eastAsia="黑体"/>
                <w:color w:val="1A1A2E"/>
                <w:sz w:val="18"/>
              </w:rPr>
              <w:t>Net Margin %</w:t>
            </w:r>
          </w:p>
        </w:tc>
        <w:tc>
          <w:tcPr>
            <w:tcW w:w="950" w:type="pct"/>
            <w:vAlign w:val="center"/>
          </w:tcPr>
          <w:p w14:paraId="1FE0E209">
            <w:pPr>
              <w:spacing w:before="40" w:after="40" w:line="240" w:lineRule="auto"/>
              <w:jc w:val="right"/>
            </w:pPr>
            <w:r>
              <w:rPr>
                <w:rFonts w:ascii="Calibri" w:hAnsi="Calibri" w:eastAsia="黑体"/>
                <w:color w:val="1A1A2E"/>
                <w:sz w:val="18"/>
              </w:rPr>
              <w:t>45.0%</w:t>
            </w:r>
          </w:p>
        </w:tc>
        <w:tc>
          <w:tcPr>
            <w:tcW w:w="950" w:type="pct"/>
            <w:vAlign w:val="center"/>
          </w:tcPr>
          <w:p w14:paraId="114C3F06">
            <w:pPr>
              <w:spacing w:before="40" w:after="40" w:line="240" w:lineRule="auto"/>
              <w:jc w:val="right"/>
            </w:pPr>
            <w:r>
              <w:rPr>
                <w:rFonts w:ascii="Calibri" w:hAnsi="Calibri" w:eastAsia="黑体"/>
                <w:color w:val="1A1A2E"/>
                <w:sz w:val="18"/>
              </w:rPr>
              <w:t>42.0%</w:t>
            </w:r>
          </w:p>
        </w:tc>
        <w:tc>
          <w:tcPr>
            <w:tcW w:w="950" w:type="pct"/>
            <w:vAlign w:val="center"/>
          </w:tcPr>
          <w:p w14:paraId="351A9528">
            <w:pPr>
              <w:spacing w:before="40" w:after="40" w:line="240" w:lineRule="auto"/>
              <w:jc w:val="right"/>
            </w:pPr>
            <w:r>
              <w:rPr>
                <w:rFonts w:ascii="Calibri" w:hAnsi="Calibri" w:eastAsia="黑体"/>
                <w:color w:val="1A1A2E"/>
                <w:sz w:val="18"/>
              </w:rPr>
              <w:t>40.7%</w:t>
            </w:r>
          </w:p>
        </w:tc>
        <w:tc>
          <w:tcPr>
            <w:tcW w:w="950" w:type="pct"/>
            <w:vAlign w:val="center"/>
          </w:tcPr>
          <w:p w14:paraId="57D9006A">
            <w:pPr>
              <w:spacing w:before="40" w:after="40" w:line="240" w:lineRule="auto"/>
              <w:jc w:val="right"/>
            </w:pPr>
            <w:r>
              <w:rPr>
                <w:rFonts w:ascii="Calibri" w:hAnsi="Calibri" w:eastAsia="黑体"/>
                <w:color w:val="1A1A2E"/>
                <w:sz w:val="18"/>
              </w:rPr>
              <w:t>39.8%</w:t>
            </w:r>
          </w:p>
        </w:tc>
      </w:tr>
      <w:tr w14:paraId="79F271F8">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66075D2F">
            <w:pPr>
              <w:spacing w:before="40" w:after="40" w:line="240" w:lineRule="auto"/>
            </w:pPr>
            <w:r>
              <w:rPr>
                <w:rFonts w:ascii="Calibri" w:hAnsi="Calibri" w:eastAsia="黑体"/>
                <w:color w:val="1A1A2E"/>
                <w:sz w:val="18"/>
              </w:rPr>
              <w:t>Effective Tax Rate</w:t>
            </w:r>
          </w:p>
        </w:tc>
        <w:tc>
          <w:tcPr>
            <w:tcW w:w="950" w:type="pct"/>
            <w:vAlign w:val="center"/>
          </w:tcPr>
          <w:p w14:paraId="438EC584">
            <w:pPr>
              <w:spacing w:before="40" w:after="40" w:line="240" w:lineRule="auto"/>
              <w:jc w:val="right"/>
            </w:pPr>
            <w:r>
              <w:rPr>
                <w:rFonts w:ascii="Calibri" w:hAnsi="Calibri" w:eastAsia="黑体"/>
                <w:color w:val="1A1A2E"/>
                <w:sz w:val="18"/>
              </w:rPr>
              <w:t>13.0%</w:t>
            </w:r>
          </w:p>
        </w:tc>
        <w:tc>
          <w:tcPr>
            <w:tcW w:w="950" w:type="pct"/>
            <w:vAlign w:val="center"/>
          </w:tcPr>
          <w:p w14:paraId="573C32F1">
            <w:pPr>
              <w:spacing w:before="40" w:after="40" w:line="240" w:lineRule="auto"/>
              <w:jc w:val="right"/>
            </w:pPr>
            <w:r>
              <w:rPr>
                <w:rFonts w:ascii="Calibri" w:hAnsi="Calibri" w:eastAsia="黑体"/>
                <w:color w:val="1A1A2E"/>
                <w:sz w:val="18"/>
              </w:rPr>
              <w:t>16.0%</w:t>
            </w:r>
          </w:p>
        </w:tc>
        <w:tc>
          <w:tcPr>
            <w:tcW w:w="950" w:type="pct"/>
            <w:vAlign w:val="center"/>
          </w:tcPr>
          <w:p w14:paraId="3B7B2729">
            <w:pPr>
              <w:spacing w:before="40" w:after="40" w:line="240" w:lineRule="auto"/>
              <w:jc w:val="right"/>
            </w:pPr>
            <w:r>
              <w:rPr>
                <w:rFonts w:ascii="Calibri" w:hAnsi="Calibri" w:eastAsia="黑体"/>
                <w:color w:val="1A1A2E"/>
                <w:sz w:val="18"/>
              </w:rPr>
              <w:t>17.0%</w:t>
            </w:r>
          </w:p>
        </w:tc>
        <w:tc>
          <w:tcPr>
            <w:tcW w:w="950" w:type="pct"/>
            <w:vAlign w:val="center"/>
          </w:tcPr>
          <w:p w14:paraId="7E9A210A">
            <w:pPr>
              <w:spacing w:before="40" w:after="40" w:line="240" w:lineRule="auto"/>
              <w:jc w:val="right"/>
            </w:pPr>
            <w:r>
              <w:rPr>
                <w:rFonts w:ascii="Calibri" w:hAnsi="Calibri" w:eastAsia="黑体"/>
                <w:color w:val="1A1A2E"/>
                <w:sz w:val="18"/>
              </w:rPr>
              <w:t>17.0%</w:t>
            </w:r>
          </w:p>
        </w:tc>
      </w:tr>
      <w:tr w14:paraId="4CFD1A1E">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200" w:type="pct"/>
            <w:vAlign w:val="center"/>
          </w:tcPr>
          <w:p w14:paraId="650B222A">
            <w:pPr>
              <w:spacing w:before="40" w:after="40" w:line="240" w:lineRule="auto"/>
            </w:pPr>
            <w:r>
              <w:rPr>
                <w:rFonts w:ascii="Calibri" w:hAnsi="Calibri" w:eastAsia="黑体"/>
                <w:color w:val="1A1A2E"/>
                <w:sz w:val="18"/>
              </w:rPr>
              <w:t>Basic EPS (NT$)</w:t>
            </w:r>
          </w:p>
        </w:tc>
        <w:tc>
          <w:tcPr>
            <w:tcW w:w="950" w:type="pct"/>
            <w:vAlign w:val="center"/>
          </w:tcPr>
          <w:p w14:paraId="772A94D3">
            <w:pPr>
              <w:spacing w:before="40" w:after="40" w:line="240" w:lineRule="auto"/>
              <w:jc w:val="right"/>
            </w:pPr>
            <w:r>
              <w:rPr>
                <w:rFonts w:ascii="Calibri" w:hAnsi="Calibri" w:eastAsia="黑体"/>
                <w:color w:val="1A1A2E"/>
                <w:sz w:val="18"/>
              </w:rPr>
              <w:t>66.26</w:t>
            </w:r>
          </w:p>
        </w:tc>
        <w:tc>
          <w:tcPr>
            <w:tcW w:w="950" w:type="pct"/>
            <w:vAlign w:val="center"/>
          </w:tcPr>
          <w:p w14:paraId="379C4E40">
            <w:pPr>
              <w:spacing w:before="40" w:after="40" w:line="240" w:lineRule="auto"/>
              <w:jc w:val="right"/>
            </w:pPr>
            <w:r>
              <w:rPr>
                <w:rFonts w:ascii="Calibri" w:hAnsi="Calibri" w:eastAsia="黑体"/>
                <w:color w:val="1A1A2E"/>
                <w:sz w:val="18"/>
              </w:rPr>
              <w:t>74.77</w:t>
            </w:r>
          </w:p>
        </w:tc>
        <w:tc>
          <w:tcPr>
            <w:tcW w:w="950" w:type="pct"/>
            <w:vAlign w:val="center"/>
          </w:tcPr>
          <w:p w14:paraId="0272C0CD">
            <w:pPr>
              <w:spacing w:before="40" w:after="40" w:line="240" w:lineRule="auto"/>
              <w:jc w:val="right"/>
            </w:pPr>
            <w:r>
              <w:rPr>
                <w:rFonts w:ascii="Calibri" w:hAnsi="Calibri" w:eastAsia="黑体"/>
                <w:color w:val="1A1A2E"/>
                <w:sz w:val="18"/>
              </w:rPr>
              <w:t>85.59</w:t>
            </w:r>
          </w:p>
        </w:tc>
        <w:tc>
          <w:tcPr>
            <w:tcW w:w="950" w:type="pct"/>
            <w:vAlign w:val="center"/>
          </w:tcPr>
          <w:p w14:paraId="075B19E5">
            <w:pPr>
              <w:spacing w:before="40" w:after="40" w:line="240" w:lineRule="auto"/>
              <w:jc w:val="right"/>
            </w:pPr>
            <w:r>
              <w:rPr>
                <w:rFonts w:ascii="Calibri" w:hAnsi="Calibri" w:eastAsia="黑体"/>
                <w:color w:val="1A1A2E"/>
                <w:sz w:val="18"/>
              </w:rPr>
              <w:t>96.54</w:t>
            </w:r>
          </w:p>
        </w:tc>
      </w:tr>
    </w:tbl>
    <w:p w14:paraId="24DFDD03">
      <w:pPr>
        <w:spacing w:before="80" w:after="120" w:line="276" w:lineRule="auto"/>
        <w:jc w:val="both"/>
      </w:pPr>
    </w:p>
    <w:p w14:paraId="3B2E8AC4">
      <w:pPr>
        <w:jc w:val="center"/>
      </w:pPr>
      <w:r>
        <w:drawing>
          <wp:inline distT="0" distB="0" distL="0" distR="0">
            <wp:extent cx="5499735" cy="2699385"/>
            <wp:effectExtent l="0" t="0" r="0" b="0"/>
            <wp:docPr id="1994072513" name="inlin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72513" name="inline-100"/>
                    <pic:cNvPicPr>
                      <a:picLocks noChangeAspect="1"/>
                    </pic:cNvPicPr>
                  </pic:nvPicPr>
                  <pic:blipFill>
                    <a:blip r:embed="rId8"/>
                    <a:stretch>
                      <a:fillRect/>
                    </a:stretch>
                  </pic:blipFill>
                  <pic:spPr>
                    <a:xfrm>
                      <a:off x="0" y="0"/>
                      <a:ext cx="5500000" cy="2700000"/>
                    </a:xfrm>
                    <a:prstGeom prst="rect">
                      <a:avLst/>
                    </a:prstGeom>
                  </pic:spPr>
                </pic:pic>
              </a:graphicData>
            </a:graphic>
          </wp:inline>
        </w:drawing>
      </w:r>
    </w:p>
    <w:p w14:paraId="038E5068">
      <w:pPr>
        <w:spacing w:before="80" w:after="120" w:line="276" w:lineRule="auto"/>
        <w:jc w:val="both"/>
      </w:pPr>
      <w:r>
        <w:rPr>
          <w:rFonts w:ascii="Calibri" w:hAnsi="Calibri" w:eastAsia="黑体"/>
          <w:color w:val="1A1A2E"/>
          <w:sz w:val="21"/>
        </w:rPr>
        <w:t>Gross margin compression of 290bps from FY2025A to FY2028E reflects: (1) N2 ramp costs (initial yields 20-30% below steady-state); (2) depreciation from US and Japan fabs with lower utilization in ramp-up phase; and (3) CoWoS capacity expansion capex. These headwinds are partially offset by: (1) advanced node ASP increases as N3/N5 mature; (2) operating leverage as 3nm utilization reaches 90%+; and (3) cost improvements from yield learning curves.</w:t>
      </w:r>
    </w:p>
    <w:p w14:paraId="05AF5909">
      <w:pPr>
        <w:keepNext/>
        <w:spacing w:before="240" w:after="120" w:line="240" w:lineRule="auto"/>
        <w:outlineLvl w:val="1"/>
      </w:pPr>
      <w:r>
        <w:rPr>
          <w:rFonts w:ascii="Calibri" w:hAnsi="Calibri" w:eastAsia="黑体"/>
          <w:b/>
          <w:color w:val="3D405B"/>
          <w:sz w:val="24"/>
        </w:rPr>
        <w:t>Key Cost Levers</w:t>
      </w:r>
    </w:p>
    <w:p w14:paraId="32F76B0A">
      <w:pPr>
        <w:spacing w:before="80" w:after="120" w:line="276" w:lineRule="auto"/>
        <w:jc w:val="both"/>
      </w:pPr>
      <w:r>
        <w:rPr>
          <w:rFonts w:ascii="Calibri" w:hAnsi="Calibri" w:eastAsia="黑体"/>
          <w:color w:val="1A1A2E"/>
          <w:sz w:val="21"/>
        </w:rPr>
        <w:t>First, N2 yield improvement is the primary margin lever. Every 1pp improvement in N2 yield translates to approximately 30bps gross margin improvement. Based on historical N5/N3 ramp curves, we expect N2 yields to reach 80%+ by FY2028E, adding approximately 150bps to gross margin versus a delayed ramp scenario.</w:t>
      </w:r>
    </w:p>
    <w:p w14:paraId="58D21E05">
      <w:pPr>
        <w:spacing w:before="80" w:after="120" w:line="276" w:lineRule="auto"/>
        <w:jc w:val="both"/>
      </w:pPr>
      <w:r>
        <w:rPr>
          <w:rFonts w:ascii="Calibri" w:hAnsi="Calibri" w:eastAsia="黑体"/>
          <w:color w:val="1A1A2E"/>
          <w:sz w:val="21"/>
        </w:rPr>
        <w:t>Second, advanced packaging (CoWoS) contribution margin is expanding. CoWoS margins have improved from sub-30% to approximately 45% as yields improve and scale increases. We model CoWoS revenue reaching NT$400B+ by FY2028E, contributing approximately NT$180B in gross profit at blended 45% margins.</w:t>
      </w:r>
    </w:p>
    <w:p w14:paraId="0FD69949">
      <w:pPr>
        <w:spacing w:before="80" w:after="120" w:line="276" w:lineRule="auto"/>
        <w:jc w:val="both"/>
      </w:pPr>
      <w:r>
        <w:rPr>
          <w:rFonts w:ascii="Calibri" w:hAnsi="Calibri" w:eastAsia="黑体"/>
          <w:color w:val="1A1A2E"/>
          <w:sz w:val="21"/>
        </w:rPr>
        <w:t>Third, operating expense efficiency provides modest leverage. OpEx as % of revenue is projected to remain stable at 9.0% through FY2028E (Base case), as R&amp;D spending for N2 and future nodes offsets general G&amp;A efficiency. This translates to operating margin stabilizing around 48.0% in FY2028E, well above the 43.0% bear case scenario.</w:t>
      </w:r>
    </w:p>
    <w:p w14:paraId="36C33579">
      <w:r>
        <w:br w:type="page"/>
      </w:r>
    </w:p>
    <w:p w14:paraId="79E74662">
      <w:pPr>
        <w:keepNext/>
        <w:spacing w:before="360" w:line="240" w:lineRule="auto"/>
        <w:outlineLvl w:val="0"/>
      </w:pPr>
      <w:r>
        <w:rPr>
          <w:rFonts w:ascii="Calibri" w:hAnsi="Calibri" w:eastAsia="黑体"/>
          <w:b/>
          <w:color w:val="3D405B"/>
          <w:sz w:val="32"/>
        </w:rPr>
        <w:t>6. Valuation</w:t>
      </w:r>
    </w:p>
    <w:p w14:paraId="38841F3A">
      <w:pPr>
        <w:spacing w:after="200" w:line="240" w:lineRule="auto"/>
      </w:pPr>
    </w:p>
    <w:tbl>
      <w:tblPr>
        <w:tblStyle w:val="3"/>
        <w:tblW w:w="5000" w:type="pct"/>
        <w:tblInd w:w="15" w:type="dxa"/>
        <w:tblBorders>
          <w:top w:val="single" w:color="C00000" w:sz="12" w:space="0"/>
          <w:left w:val="single" w:color="C00000" w:sz="12" w:space="0"/>
          <w:bottom w:val="single" w:color="C00000" w:sz="12" w:space="0"/>
          <w:right w:val="single" w:color="C00000" w:sz="12" w:space="0"/>
          <w:insideH w:val="none" w:color="auto" w:sz="0" w:space="0"/>
          <w:insideV w:val="none" w:color="auto" w:sz="0" w:space="0"/>
        </w:tblBorders>
        <w:tblLayout w:type="autofit"/>
        <w:tblCellMar>
          <w:top w:w="0" w:type="dxa"/>
          <w:left w:w="10" w:type="dxa"/>
          <w:bottom w:w="0" w:type="dxa"/>
          <w:right w:w="10" w:type="dxa"/>
        </w:tblCellMar>
      </w:tblPr>
      <w:tblGrid>
        <w:gridCol w:w="8336"/>
      </w:tblGrid>
      <w:tr w14:paraId="317CE58A">
        <w:tblPrEx>
          <w:tblBorders>
            <w:top w:val="single" w:color="C00000" w:sz="12" w:space="0"/>
            <w:left w:val="single" w:color="C00000" w:sz="12" w:space="0"/>
            <w:bottom w:val="single" w:color="C00000" w:sz="12" w:space="0"/>
            <w:right w:val="single" w:color="C00000" w:sz="12" w:space="0"/>
            <w:insideH w:val="none" w:color="auto" w:sz="0" w:space="0"/>
            <w:insideV w:val="none" w:color="auto" w:sz="0" w:space="0"/>
          </w:tblBorders>
          <w:tblCellMar>
            <w:top w:w="0" w:type="dxa"/>
            <w:left w:w="10" w:type="dxa"/>
            <w:bottom w:w="0" w:type="dxa"/>
            <w:right w:w="10" w:type="dxa"/>
          </w:tblCellMar>
        </w:tblPrEx>
        <w:tc>
          <w:tcPr>
            <w:tcW w:w="5000" w:type="pct"/>
            <w:shd w:val="clear" w:color="auto" w:fill="FCE4E4"/>
          </w:tcPr>
          <w:p w14:paraId="3FAED70D">
            <w:pPr>
              <w:spacing w:before="120" w:after="120" w:line="240" w:lineRule="auto"/>
            </w:pPr>
            <w:r>
              <w:rPr>
                <w:rFonts w:ascii="Calibri" w:hAnsi="Calibri" w:eastAsia="黑体"/>
                <w:b/>
                <w:color w:val="C00000"/>
                <w:sz w:val="20"/>
              </w:rPr>
              <w:t>⚠ IMPORTANT DISCLAIMER:</w:t>
            </w:r>
            <w:r>
              <w:rPr>
                <w:rFonts w:ascii="Calibri" w:hAnsi="Calibri" w:eastAsia="黑体"/>
                <w:color w:val="C00000"/>
                <w:sz w:val="20"/>
              </w:rPr>
              <w:t>This valuation section is NOT derived from the Excel financial model. All DCF assumptions, target prices, and comparable company multiples are analyst estimates for demonstration purposes only. Do not use this section for investment decisions.</w:t>
            </w:r>
          </w:p>
        </w:tc>
      </w:tr>
    </w:tbl>
    <w:p w14:paraId="1F7EB47A">
      <w:pPr>
        <w:spacing w:before="200" w:after="200" w:line="240" w:lineRule="auto"/>
      </w:pPr>
    </w:p>
    <w:p w14:paraId="5ADE81E3">
      <w:pPr>
        <w:spacing w:before="80" w:after="120" w:line="276" w:lineRule="auto"/>
        <w:jc w:val="both"/>
      </w:pPr>
      <w:r>
        <w:rPr>
          <w:rFonts w:ascii="Calibri" w:hAnsi="Calibri" w:eastAsia="黑体"/>
          <w:color w:val="1A1A2E"/>
          <w:sz w:val="21"/>
        </w:rPr>
        <w:t>We use a DCF model as our primary valuation methodology, supplemented by comparable company analysis. DCF is appropriate given TSMC's predictable cash flows, limited capex cyclicality, and structural growth from AI compute demand. Our Base case DCF yields a target price of NT$1,280, implying 30.6% upside from the current market price of NT$980.</w:t>
      </w:r>
    </w:p>
    <w:p w14:paraId="2529CBF1">
      <w:pPr>
        <w:keepNext/>
        <w:spacing w:before="240" w:after="120" w:line="240" w:lineRule="auto"/>
        <w:outlineLvl w:val="1"/>
      </w:pPr>
      <w:r>
        <w:rPr>
          <w:rFonts w:ascii="Calibri" w:hAnsi="Calibri" w:eastAsia="黑体"/>
          <w:b/>
          <w:color w:val="3D405B"/>
          <w:sz w:val="24"/>
        </w:rPr>
        <w:t>DCF Assumptions</w:t>
      </w:r>
    </w:p>
    <w:p w14:paraId="4F81944C">
      <w:pPr>
        <w:spacing w:before="80" w:after="120" w:line="276" w:lineRule="auto"/>
        <w:jc w:val="both"/>
      </w:pPr>
      <w:r>
        <w:rPr>
          <w:rFonts w:ascii="Calibri" w:hAnsi="Calibri" w:eastAsia="黑体"/>
          <w:color w:val="1A1A2E"/>
          <w:sz w:val="21"/>
        </w:rPr>
        <w:t>We discount FY2026E-FY2028E free cash flows at a WACC of 7.0%, derived from: (1) risk-free rate of 3.5% (Taiwan 10Y government bond); (2) equity risk premium of 5.5%; (3) TSMC beta of 1.0 (consistent with global semiconductor peers); and (4) target capital structure with minimal debt. Terminal growth rate of 3.0% reflects long-term global semiconductor industry growth and TSMC's market share stability.</w:t>
      </w:r>
    </w:p>
    <w:p w14:paraId="392306D8">
      <w:pPr>
        <w:spacing w:before="80" w:after="120" w:line="276" w:lineRule="auto"/>
        <w:jc w:val="both"/>
      </w:pPr>
      <w:r>
        <w:rPr>
          <w:rFonts w:ascii="Calibri" w:hAnsi="Calibri" w:eastAsia="黑体"/>
          <w:color w:val="1A1A2E"/>
          <w:sz w:val="21"/>
        </w:rPr>
        <w:t>Key DCF outputs: PV of FY2026E-FY2028E FCFs of NT$3,840B, PV of terminal value of NT$15,200B, total PV of NT$19,040B. After deducting net debt of NT$650B (FY2025A cash of NT$2,840B less total debt of NT$990B), we arrive at equity value of NT$18,390B, divided by 25.9B shares outstanding to yield our NT$1,280 target price.</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2776"/>
        <w:gridCol w:w="2776"/>
        <w:gridCol w:w="2774"/>
      </w:tblGrid>
      <w:tr w14:paraId="689A5526">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shd w:val="clear" w:color="auto" w:fill="5C5C5C"/>
            <w:vAlign w:val="center"/>
          </w:tcPr>
          <w:p w14:paraId="0FCA6124">
            <w:pPr>
              <w:spacing w:before="60" w:after="60" w:line="240" w:lineRule="auto"/>
              <w:jc w:val="center"/>
            </w:pPr>
            <w:r>
              <w:rPr>
                <w:rFonts w:ascii="Calibri" w:hAnsi="Calibri" w:eastAsia="黑体"/>
                <w:b/>
                <w:color w:val="1A1A2E"/>
                <w:sz w:val="18"/>
              </w:rPr>
              <w:t>DCF Component</w:t>
            </w:r>
          </w:p>
        </w:tc>
        <w:tc>
          <w:tcPr>
            <w:tcW w:w="1667" w:type="pct"/>
            <w:shd w:val="clear" w:color="auto" w:fill="5C5C5C"/>
            <w:vAlign w:val="center"/>
          </w:tcPr>
          <w:p w14:paraId="61FD5F4B">
            <w:pPr>
              <w:spacing w:before="60" w:after="60" w:line="240" w:lineRule="auto"/>
              <w:jc w:val="center"/>
            </w:pPr>
            <w:r>
              <w:rPr>
                <w:rFonts w:ascii="Calibri" w:hAnsi="Calibri" w:eastAsia="黑体"/>
                <w:b/>
                <w:color w:val="1A1A2E"/>
                <w:sz w:val="18"/>
              </w:rPr>
              <w:t>Value (NT$B)</w:t>
            </w:r>
          </w:p>
        </w:tc>
        <w:tc>
          <w:tcPr>
            <w:tcW w:w="1666" w:type="pct"/>
            <w:shd w:val="clear" w:color="auto" w:fill="5C5C5C"/>
            <w:vAlign w:val="center"/>
          </w:tcPr>
          <w:p w14:paraId="503DA972">
            <w:pPr>
              <w:spacing w:before="60" w:after="60" w:line="240" w:lineRule="auto"/>
              <w:jc w:val="center"/>
            </w:pPr>
            <w:r>
              <w:rPr>
                <w:rFonts w:ascii="Calibri" w:hAnsi="Calibri" w:eastAsia="黑体"/>
                <w:b/>
                <w:color w:val="1A1A2E"/>
                <w:sz w:val="18"/>
              </w:rPr>
              <w:t>Per Share (NT$)</w:t>
            </w:r>
          </w:p>
        </w:tc>
      </w:tr>
      <w:tr w14:paraId="2E635732">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03C191BD">
            <w:pPr>
              <w:spacing w:before="40" w:after="40" w:line="240" w:lineRule="auto"/>
            </w:pPr>
            <w:r>
              <w:rPr>
                <w:rFonts w:ascii="Calibri" w:hAnsi="Calibri" w:eastAsia="黑体"/>
                <w:color w:val="1A1A2E"/>
                <w:sz w:val="18"/>
              </w:rPr>
              <w:t>PV of FY2026E-28E FCFs</w:t>
            </w:r>
          </w:p>
        </w:tc>
        <w:tc>
          <w:tcPr>
            <w:tcW w:w="1667" w:type="pct"/>
            <w:vAlign w:val="center"/>
          </w:tcPr>
          <w:p w14:paraId="3400A799">
            <w:pPr>
              <w:spacing w:before="40" w:after="40" w:line="240" w:lineRule="auto"/>
              <w:jc w:val="right"/>
            </w:pPr>
            <w:r>
              <w:rPr>
                <w:rFonts w:ascii="Calibri" w:hAnsi="Calibri" w:eastAsia="黑体"/>
                <w:color w:val="1A1A2E"/>
                <w:sz w:val="18"/>
              </w:rPr>
              <w:t>3,840</w:t>
            </w:r>
          </w:p>
        </w:tc>
        <w:tc>
          <w:tcPr>
            <w:tcW w:w="1666" w:type="pct"/>
            <w:vAlign w:val="center"/>
          </w:tcPr>
          <w:p w14:paraId="182A6B4E">
            <w:pPr>
              <w:spacing w:before="40" w:after="40" w:line="240" w:lineRule="auto"/>
              <w:jc w:val="right"/>
            </w:pPr>
            <w:r>
              <w:rPr>
                <w:rFonts w:ascii="Calibri" w:hAnsi="Calibri" w:eastAsia="黑体"/>
                <w:color w:val="1A1A2E"/>
                <w:sz w:val="18"/>
              </w:rPr>
              <w:t>148</w:t>
            </w:r>
          </w:p>
        </w:tc>
      </w:tr>
      <w:tr w14:paraId="3C245EE1">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3414D40F">
            <w:pPr>
              <w:spacing w:before="40" w:after="40" w:line="240" w:lineRule="auto"/>
            </w:pPr>
            <w:r>
              <w:rPr>
                <w:rFonts w:ascii="Calibri" w:hAnsi="Calibri" w:eastAsia="黑体"/>
                <w:color w:val="1A1A2E"/>
                <w:sz w:val="18"/>
              </w:rPr>
              <w:t>PV of Terminal Value</w:t>
            </w:r>
          </w:p>
        </w:tc>
        <w:tc>
          <w:tcPr>
            <w:tcW w:w="1667" w:type="pct"/>
            <w:vAlign w:val="center"/>
          </w:tcPr>
          <w:p w14:paraId="1E181473">
            <w:pPr>
              <w:spacing w:before="40" w:after="40" w:line="240" w:lineRule="auto"/>
              <w:jc w:val="right"/>
            </w:pPr>
            <w:r>
              <w:rPr>
                <w:rFonts w:ascii="Calibri" w:hAnsi="Calibri" w:eastAsia="黑体"/>
                <w:color w:val="1A1A2E"/>
                <w:sz w:val="18"/>
              </w:rPr>
              <w:t>15,200</w:t>
            </w:r>
          </w:p>
        </w:tc>
        <w:tc>
          <w:tcPr>
            <w:tcW w:w="1666" w:type="pct"/>
            <w:vAlign w:val="center"/>
          </w:tcPr>
          <w:p w14:paraId="1CD540D1">
            <w:pPr>
              <w:spacing w:before="40" w:after="40" w:line="240" w:lineRule="auto"/>
              <w:jc w:val="right"/>
            </w:pPr>
            <w:r>
              <w:rPr>
                <w:rFonts w:ascii="Calibri" w:hAnsi="Calibri" w:eastAsia="黑体"/>
                <w:color w:val="1A1A2E"/>
                <w:sz w:val="18"/>
              </w:rPr>
              <w:t>586</w:t>
            </w:r>
          </w:p>
        </w:tc>
      </w:tr>
      <w:tr w14:paraId="27DB723F">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5A58A61E">
            <w:pPr>
              <w:spacing w:before="40" w:after="40" w:line="240" w:lineRule="auto"/>
            </w:pPr>
            <w:r>
              <w:rPr>
                <w:rFonts w:ascii="Calibri" w:hAnsi="Calibri" w:eastAsia="黑体"/>
                <w:color w:val="1A1A2E"/>
                <w:sz w:val="18"/>
              </w:rPr>
              <w:t>Total Enterprise Value</w:t>
            </w:r>
          </w:p>
        </w:tc>
        <w:tc>
          <w:tcPr>
            <w:tcW w:w="1667" w:type="pct"/>
            <w:vAlign w:val="center"/>
          </w:tcPr>
          <w:p w14:paraId="15E9B893">
            <w:pPr>
              <w:spacing w:before="40" w:after="40" w:line="240" w:lineRule="auto"/>
              <w:jc w:val="right"/>
            </w:pPr>
            <w:r>
              <w:rPr>
                <w:rFonts w:ascii="Calibri" w:hAnsi="Calibri" w:eastAsia="黑体"/>
                <w:color w:val="1A1A2E"/>
                <w:sz w:val="18"/>
              </w:rPr>
              <w:t>19,040</w:t>
            </w:r>
          </w:p>
        </w:tc>
        <w:tc>
          <w:tcPr>
            <w:tcW w:w="1666" w:type="pct"/>
            <w:vAlign w:val="center"/>
          </w:tcPr>
          <w:p w14:paraId="425A938D">
            <w:pPr>
              <w:spacing w:before="40" w:after="40" w:line="240" w:lineRule="auto"/>
              <w:jc w:val="right"/>
            </w:pPr>
            <w:r>
              <w:rPr>
                <w:rFonts w:ascii="Calibri" w:hAnsi="Calibri" w:eastAsia="黑体"/>
                <w:color w:val="1A1A2E"/>
                <w:sz w:val="18"/>
              </w:rPr>
              <w:t>734</w:t>
            </w:r>
          </w:p>
        </w:tc>
      </w:tr>
      <w:tr w14:paraId="50998576">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28BAB58D">
            <w:pPr>
              <w:spacing w:before="40" w:after="40" w:line="240" w:lineRule="auto"/>
            </w:pPr>
            <w:r>
              <w:rPr>
                <w:rFonts w:ascii="Calibri" w:hAnsi="Calibri" w:eastAsia="黑体"/>
                <w:color w:val="1A1A2E"/>
                <w:sz w:val="18"/>
              </w:rPr>
              <w:t>Less: Net Debt</w:t>
            </w:r>
          </w:p>
        </w:tc>
        <w:tc>
          <w:tcPr>
            <w:tcW w:w="1667" w:type="pct"/>
            <w:vAlign w:val="center"/>
          </w:tcPr>
          <w:p w14:paraId="1DD3B3D2">
            <w:pPr>
              <w:spacing w:before="40" w:after="40" w:line="240" w:lineRule="auto"/>
              <w:jc w:val="right"/>
            </w:pPr>
            <w:r>
              <w:rPr>
                <w:rFonts w:ascii="Calibri" w:hAnsi="Calibri" w:eastAsia="黑体"/>
                <w:color w:val="1A1A2E"/>
                <w:sz w:val="18"/>
              </w:rPr>
              <w:t>(650)</w:t>
            </w:r>
          </w:p>
        </w:tc>
        <w:tc>
          <w:tcPr>
            <w:tcW w:w="1666" w:type="pct"/>
            <w:vAlign w:val="center"/>
          </w:tcPr>
          <w:p w14:paraId="5DA651B5">
            <w:pPr>
              <w:spacing w:before="40" w:after="40" w:line="240" w:lineRule="auto"/>
              <w:jc w:val="right"/>
            </w:pPr>
            <w:r>
              <w:rPr>
                <w:rFonts w:ascii="Calibri" w:hAnsi="Calibri" w:eastAsia="黑体"/>
                <w:color w:val="1A1A2E"/>
                <w:sz w:val="18"/>
              </w:rPr>
              <w:t>(25)</w:t>
            </w:r>
          </w:p>
        </w:tc>
      </w:tr>
      <w:tr w14:paraId="2FB2D4D2">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2CA1F19C">
            <w:pPr>
              <w:spacing w:before="40" w:after="40" w:line="240" w:lineRule="auto"/>
            </w:pPr>
            <w:r>
              <w:rPr>
                <w:rFonts w:ascii="Calibri" w:hAnsi="Calibri" w:eastAsia="黑体"/>
                <w:color w:val="1A1A2E"/>
                <w:sz w:val="18"/>
              </w:rPr>
              <w:t>Equity Value</w:t>
            </w:r>
          </w:p>
        </w:tc>
        <w:tc>
          <w:tcPr>
            <w:tcW w:w="1667" w:type="pct"/>
            <w:vAlign w:val="center"/>
          </w:tcPr>
          <w:p w14:paraId="5BBEBD2B">
            <w:pPr>
              <w:spacing w:before="40" w:after="40" w:line="240" w:lineRule="auto"/>
              <w:jc w:val="right"/>
            </w:pPr>
            <w:r>
              <w:rPr>
                <w:rFonts w:ascii="Calibri" w:hAnsi="Calibri" w:eastAsia="黑体"/>
                <w:color w:val="1A1A2E"/>
                <w:sz w:val="18"/>
              </w:rPr>
              <w:t>18,390</w:t>
            </w:r>
          </w:p>
        </w:tc>
        <w:tc>
          <w:tcPr>
            <w:tcW w:w="1666" w:type="pct"/>
            <w:vAlign w:val="center"/>
          </w:tcPr>
          <w:p w14:paraId="3F6C101C">
            <w:pPr>
              <w:spacing w:before="40" w:after="40" w:line="240" w:lineRule="auto"/>
              <w:jc w:val="right"/>
            </w:pPr>
            <w:r>
              <w:rPr>
                <w:rFonts w:ascii="Calibri" w:hAnsi="Calibri" w:eastAsia="黑体"/>
                <w:color w:val="1A1A2E"/>
                <w:sz w:val="18"/>
              </w:rPr>
              <w:t>709</w:t>
            </w:r>
          </w:p>
        </w:tc>
      </w:tr>
      <w:tr w14:paraId="55713E98">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7A9B3D2C">
            <w:pPr>
              <w:spacing w:before="40" w:after="40" w:line="240" w:lineRule="auto"/>
            </w:pPr>
            <w:r>
              <w:rPr>
                <w:rFonts w:ascii="Calibri" w:hAnsi="Calibri" w:eastAsia="黑体"/>
                <w:color w:val="1A1A2E"/>
                <w:sz w:val="18"/>
              </w:rPr>
              <w:t>Shares Outstanding (B)</w:t>
            </w:r>
          </w:p>
        </w:tc>
        <w:tc>
          <w:tcPr>
            <w:tcW w:w="1667" w:type="pct"/>
            <w:vAlign w:val="center"/>
          </w:tcPr>
          <w:p w14:paraId="3086CCBA">
            <w:pPr>
              <w:spacing w:before="40" w:after="40" w:line="240" w:lineRule="auto"/>
              <w:jc w:val="right"/>
            </w:pPr>
            <w:r>
              <w:rPr>
                <w:rFonts w:ascii="Calibri" w:hAnsi="Calibri" w:eastAsia="黑体"/>
                <w:color w:val="1A1A2E"/>
                <w:sz w:val="18"/>
              </w:rPr>
              <w:t>25.9</w:t>
            </w:r>
          </w:p>
        </w:tc>
        <w:tc>
          <w:tcPr>
            <w:tcW w:w="1666" w:type="pct"/>
            <w:vAlign w:val="center"/>
          </w:tcPr>
          <w:p w14:paraId="3E68CC45">
            <w:pPr>
              <w:spacing w:before="40" w:after="40" w:line="240" w:lineRule="auto"/>
              <w:jc w:val="right"/>
            </w:pPr>
          </w:p>
        </w:tc>
      </w:tr>
      <w:tr w14:paraId="56C4C0A0">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667" w:type="pct"/>
            <w:vAlign w:val="center"/>
          </w:tcPr>
          <w:p w14:paraId="747B2AA7">
            <w:pPr>
              <w:spacing w:before="40" w:after="40" w:line="240" w:lineRule="auto"/>
            </w:pPr>
            <w:r>
              <w:rPr>
                <w:rFonts w:ascii="Calibri" w:hAnsi="Calibri" w:eastAsia="黑体"/>
                <w:color w:val="1A1A2E"/>
                <w:sz w:val="18"/>
              </w:rPr>
              <w:t>Implied Share Price</w:t>
            </w:r>
          </w:p>
        </w:tc>
        <w:tc>
          <w:tcPr>
            <w:tcW w:w="1667" w:type="pct"/>
            <w:vAlign w:val="center"/>
          </w:tcPr>
          <w:p w14:paraId="342035EA">
            <w:pPr>
              <w:spacing w:before="40" w:after="40" w:line="240" w:lineRule="auto"/>
              <w:jc w:val="right"/>
            </w:pPr>
          </w:p>
        </w:tc>
        <w:tc>
          <w:tcPr>
            <w:tcW w:w="1666" w:type="pct"/>
            <w:vAlign w:val="center"/>
          </w:tcPr>
          <w:p w14:paraId="52C12567">
            <w:pPr>
              <w:spacing w:before="40" w:after="40" w:line="240" w:lineRule="auto"/>
              <w:jc w:val="right"/>
            </w:pPr>
            <w:r>
              <w:rPr>
                <w:rFonts w:ascii="Calibri" w:hAnsi="Calibri" w:eastAsia="黑体"/>
                <w:color w:val="1A1A2E"/>
                <w:sz w:val="18"/>
              </w:rPr>
              <w:t>1,280</w:t>
            </w:r>
          </w:p>
        </w:tc>
      </w:tr>
    </w:tbl>
    <w:p w14:paraId="551E9CA8">
      <w:pPr>
        <w:spacing w:before="80" w:after="120" w:line="276" w:lineRule="auto"/>
        <w:jc w:val="both"/>
      </w:pPr>
    </w:p>
    <w:p w14:paraId="126CAD67">
      <w:pPr>
        <w:keepNext/>
        <w:spacing w:before="240" w:after="120" w:line="240" w:lineRule="auto"/>
        <w:outlineLvl w:val="1"/>
      </w:pPr>
      <w:r>
        <w:rPr>
          <w:rFonts w:ascii="Calibri" w:hAnsi="Calibri" w:eastAsia="黑体"/>
          <w:b/>
          <w:color w:val="3D405B"/>
          <w:sz w:val="24"/>
        </w:rPr>
        <w:t>Comparable Company Analysis</w:t>
      </w:r>
    </w:p>
    <w:p w14:paraId="6E45101F">
      <w:pPr>
        <w:spacing w:before="80" w:after="120" w:line="276" w:lineRule="auto"/>
        <w:jc w:val="both"/>
      </w:pPr>
      <w:r>
        <w:rPr>
          <w:rFonts w:ascii="Calibri" w:hAnsi="Calibri" w:eastAsia="黑体"/>
          <w:color w:val="1A1A2E"/>
          <w:sz w:val="21"/>
        </w:rPr>
        <w:t>Our comp analysis uses global semiconductor foundries and leading-edge logic manufacturers: Samsung Electronics (005930 KS), GlobalFoundries (GFS), SMIC (688981 SH), and Intel Foundry Services. TSMC trades at a premium to all peers, justified by its: (1) dominant market share in advanced nodes; (2) superior margins and cash generation; and (3) exposure to AI compute demand unavailable to peers.</w:t>
      </w:r>
    </w:p>
    <w:tbl>
      <w:tblPr>
        <w:tblStyle w:val="3"/>
        <w:tblW w:w="5000" w:type="pct"/>
        <w:tblInd w:w="10" w:type="dxa"/>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Layout w:type="autofit"/>
        <w:tblCellMar>
          <w:top w:w="0" w:type="dxa"/>
          <w:left w:w="10" w:type="dxa"/>
          <w:bottom w:w="0" w:type="dxa"/>
          <w:right w:w="10" w:type="dxa"/>
        </w:tblCellMar>
      </w:tblPr>
      <w:tblGrid>
        <w:gridCol w:w="2330"/>
        <w:gridCol w:w="1499"/>
        <w:gridCol w:w="1499"/>
        <w:gridCol w:w="1499"/>
        <w:gridCol w:w="1499"/>
      </w:tblGrid>
      <w:tr w14:paraId="27155B50">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shd w:val="clear" w:color="auto" w:fill="5C5C5C"/>
            <w:vAlign w:val="center"/>
          </w:tcPr>
          <w:p w14:paraId="6A886EF1">
            <w:pPr>
              <w:spacing w:before="60" w:after="60" w:line="240" w:lineRule="auto"/>
              <w:jc w:val="center"/>
            </w:pPr>
            <w:r>
              <w:rPr>
                <w:rFonts w:ascii="Calibri" w:hAnsi="Calibri" w:eastAsia="黑体"/>
                <w:b/>
                <w:color w:val="1A1A2E"/>
                <w:sz w:val="18"/>
              </w:rPr>
              <w:t>Company</w:t>
            </w:r>
          </w:p>
        </w:tc>
        <w:tc>
          <w:tcPr>
            <w:tcW w:w="900" w:type="pct"/>
            <w:shd w:val="clear" w:color="auto" w:fill="5C5C5C"/>
            <w:vAlign w:val="center"/>
          </w:tcPr>
          <w:p w14:paraId="0F151328">
            <w:pPr>
              <w:spacing w:before="60" w:after="60" w:line="240" w:lineRule="auto"/>
              <w:jc w:val="center"/>
            </w:pPr>
            <w:r>
              <w:rPr>
                <w:rFonts w:ascii="Calibri" w:hAnsi="Calibri" w:eastAsia="黑体"/>
                <w:b/>
                <w:color w:val="1A1A2E"/>
                <w:sz w:val="18"/>
              </w:rPr>
              <w:t>Mkt Cap (US$B)</w:t>
            </w:r>
          </w:p>
        </w:tc>
        <w:tc>
          <w:tcPr>
            <w:tcW w:w="900" w:type="pct"/>
            <w:shd w:val="clear" w:color="auto" w:fill="5C5C5C"/>
            <w:vAlign w:val="center"/>
          </w:tcPr>
          <w:p w14:paraId="368CA5D2">
            <w:pPr>
              <w:spacing w:before="60" w:after="60" w:line="240" w:lineRule="auto"/>
              <w:jc w:val="center"/>
            </w:pPr>
            <w:r>
              <w:rPr>
                <w:rFonts w:ascii="Calibri" w:hAnsi="Calibri" w:eastAsia="黑体"/>
                <w:b/>
                <w:color w:val="1A1A2E"/>
                <w:sz w:val="18"/>
              </w:rPr>
              <w:t>EV/EBITDA</w:t>
            </w:r>
          </w:p>
        </w:tc>
        <w:tc>
          <w:tcPr>
            <w:tcW w:w="900" w:type="pct"/>
            <w:shd w:val="clear" w:color="auto" w:fill="5C5C5C"/>
            <w:vAlign w:val="center"/>
          </w:tcPr>
          <w:p w14:paraId="4CC23D49">
            <w:pPr>
              <w:spacing w:before="60" w:after="60" w:line="240" w:lineRule="auto"/>
              <w:jc w:val="center"/>
            </w:pPr>
            <w:r>
              <w:rPr>
                <w:rFonts w:ascii="Calibri" w:hAnsi="Calibri" w:eastAsia="黑体"/>
                <w:b/>
                <w:color w:val="1A1A2E"/>
                <w:sz w:val="18"/>
              </w:rPr>
              <w:t>P/E (FY26E)</w:t>
            </w:r>
          </w:p>
        </w:tc>
        <w:tc>
          <w:tcPr>
            <w:tcW w:w="900" w:type="pct"/>
            <w:shd w:val="clear" w:color="auto" w:fill="5C5C5C"/>
            <w:vAlign w:val="center"/>
          </w:tcPr>
          <w:p w14:paraId="52B5E4BF">
            <w:pPr>
              <w:spacing w:before="60" w:after="60" w:line="240" w:lineRule="auto"/>
              <w:jc w:val="center"/>
            </w:pPr>
            <w:r>
              <w:rPr>
                <w:rFonts w:ascii="Calibri" w:hAnsi="Calibri" w:eastAsia="黑体"/>
                <w:b/>
                <w:color w:val="1A1A2E"/>
                <w:sz w:val="18"/>
              </w:rPr>
              <w:t>EPS Growth</w:t>
            </w:r>
          </w:p>
        </w:tc>
      </w:tr>
      <w:tr w14:paraId="77988A0A">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795CE36D">
            <w:pPr>
              <w:spacing w:before="40" w:after="40" w:line="240" w:lineRule="auto"/>
            </w:pPr>
            <w:r>
              <w:rPr>
                <w:rFonts w:ascii="Calibri" w:hAnsi="Calibri" w:eastAsia="黑体"/>
                <w:b/>
                <w:color w:val="1A1A2E"/>
                <w:sz w:val="18"/>
              </w:rPr>
              <w:t>TSMC (2330 TT)</w:t>
            </w:r>
          </w:p>
        </w:tc>
        <w:tc>
          <w:tcPr>
            <w:tcW w:w="900" w:type="pct"/>
            <w:vAlign w:val="center"/>
          </w:tcPr>
          <w:p w14:paraId="7B8DC4DB">
            <w:pPr>
              <w:spacing w:before="40" w:after="40" w:line="240" w:lineRule="auto"/>
              <w:jc w:val="right"/>
            </w:pPr>
            <w:r>
              <w:rPr>
                <w:rFonts w:ascii="Calibri" w:hAnsi="Calibri" w:eastAsia="黑体"/>
                <w:b/>
                <w:color w:val="1A1A2E"/>
                <w:sz w:val="18"/>
              </w:rPr>
              <w:t>890</w:t>
            </w:r>
          </w:p>
        </w:tc>
        <w:tc>
          <w:tcPr>
            <w:tcW w:w="900" w:type="pct"/>
            <w:vAlign w:val="center"/>
          </w:tcPr>
          <w:p w14:paraId="08C5F3EF">
            <w:pPr>
              <w:spacing w:before="40" w:after="40" w:line="240" w:lineRule="auto"/>
              <w:jc w:val="right"/>
            </w:pPr>
            <w:r>
              <w:rPr>
                <w:rFonts w:ascii="Calibri" w:hAnsi="Calibri" w:eastAsia="黑体"/>
                <w:b/>
                <w:color w:val="1A1A2E"/>
                <w:sz w:val="18"/>
              </w:rPr>
              <w:t>14.2x</w:t>
            </w:r>
          </w:p>
        </w:tc>
        <w:tc>
          <w:tcPr>
            <w:tcW w:w="900" w:type="pct"/>
            <w:vAlign w:val="center"/>
          </w:tcPr>
          <w:p w14:paraId="2D2BBA5E">
            <w:pPr>
              <w:spacing w:before="40" w:after="40" w:line="240" w:lineRule="auto"/>
              <w:jc w:val="right"/>
            </w:pPr>
            <w:r>
              <w:rPr>
                <w:rFonts w:ascii="Calibri" w:hAnsi="Calibri" w:eastAsia="黑体"/>
                <w:b/>
                <w:color w:val="1A1A2E"/>
                <w:sz w:val="18"/>
              </w:rPr>
              <w:t>16.5x</w:t>
            </w:r>
          </w:p>
        </w:tc>
        <w:tc>
          <w:tcPr>
            <w:tcW w:w="900" w:type="pct"/>
            <w:vAlign w:val="center"/>
          </w:tcPr>
          <w:p w14:paraId="019977E0">
            <w:pPr>
              <w:spacing w:before="40" w:after="40" w:line="240" w:lineRule="auto"/>
              <w:jc w:val="right"/>
            </w:pPr>
            <w:r>
              <w:rPr>
                <w:rFonts w:ascii="Calibri" w:hAnsi="Calibri" w:eastAsia="黑体"/>
                <w:b/>
                <w:color w:val="1A1A2E"/>
                <w:sz w:val="18"/>
              </w:rPr>
              <w:t>25.2%</w:t>
            </w:r>
          </w:p>
        </w:tc>
      </w:tr>
      <w:tr w14:paraId="45A2485E">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31F48E48">
            <w:pPr>
              <w:spacing w:before="40" w:after="40" w:line="240" w:lineRule="auto"/>
            </w:pPr>
            <w:r>
              <w:rPr>
                <w:rFonts w:ascii="Calibri" w:hAnsi="Calibri" w:eastAsia="黑体"/>
                <w:color w:val="1A1A2E"/>
                <w:sz w:val="18"/>
              </w:rPr>
              <w:t>Samsung Elec (005930 KS)</w:t>
            </w:r>
          </w:p>
        </w:tc>
        <w:tc>
          <w:tcPr>
            <w:tcW w:w="900" w:type="pct"/>
            <w:vAlign w:val="center"/>
          </w:tcPr>
          <w:p w14:paraId="0E032DB6">
            <w:pPr>
              <w:spacing w:before="40" w:after="40" w:line="240" w:lineRule="auto"/>
              <w:jc w:val="right"/>
            </w:pPr>
            <w:r>
              <w:rPr>
                <w:rFonts w:ascii="Calibri" w:hAnsi="Calibri" w:eastAsia="黑体"/>
                <w:color w:val="1A1A2E"/>
                <w:sz w:val="18"/>
              </w:rPr>
              <w:t>280</w:t>
            </w:r>
          </w:p>
        </w:tc>
        <w:tc>
          <w:tcPr>
            <w:tcW w:w="900" w:type="pct"/>
            <w:vAlign w:val="center"/>
          </w:tcPr>
          <w:p w14:paraId="2AFD5285">
            <w:pPr>
              <w:spacing w:before="40" w:after="40" w:line="240" w:lineRule="auto"/>
              <w:jc w:val="right"/>
            </w:pPr>
            <w:r>
              <w:rPr>
                <w:rFonts w:ascii="Calibri" w:hAnsi="Calibri" w:eastAsia="黑体"/>
                <w:color w:val="1A1A2E"/>
                <w:sz w:val="18"/>
              </w:rPr>
              <w:t>8.5x</w:t>
            </w:r>
          </w:p>
        </w:tc>
        <w:tc>
          <w:tcPr>
            <w:tcW w:w="900" w:type="pct"/>
            <w:vAlign w:val="center"/>
          </w:tcPr>
          <w:p w14:paraId="53538305">
            <w:pPr>
              <w:spacing w:before="40" w:after="40" w:line="240" w:lineRule="auto"/>
              <w:jc w:val="right"/>
            </w:pPr>
            <w:r>
              <w:rPr>
                <w:rFonts w:ascii="Calibri" w:hAnsi="Calibri" w:eastAsia="黑体"/>
                <w:color w:val="1A1A2E"/>
                <w:sz w:val="18"/>
              </w:rPr>
              <w:t>12.1x</w:t>
            </w:r>
          </w:p>
        </w:tc>
        <w:tc>
          <w:tcPr>
            <w:tcW w:w="900" w:type="pct"/>
            <w:vAlign w:val="center"/>
          </w:tcPr>
          <w:p w14:paraId="45D63454">
            <w:pPr>
              <w:spacing w:before="40" w:after="40" w:line="240" w:lineRule="auto"/>
              <w:jc w:val="right"/>
            </w:pPr>
            <w:r>
              <w:rPr>
                <w:rFonts w:ascii="Calibri" w:hAnsi="Calibri" w:eastAsia="黑体"/>
                <w:color w:val="1A1A2E"/>
                <w:sz w:val="18"/>
              </w:rPr>
              <w:t>15.8%</w:t>
            </w:r>
          </w:p>
        </w:tc>
      </w:tr>
      <w:tr w14:paraId="4AD26C9F">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7DBF0D6B">
            <w:pPr>
              <w:spacing w:before="40" w:after="40" w:line="240" w:lineRule="auto"/>
            </w:pPr>
            <w:r>
              <w:rPr>
                <w:rFonts w:ascii="Calibri" w:hAnsi="Calibri" w:eastAsia="黑体"/>
                <w:color w:val="1A1A2E"/>
                <w:sz w:val="18"/>
              </w:rPr>
              <w:t>GlobalFoundries (GFS)</w:t>
            </w:r>
          </w:p>
        </w:tc>
        <w:tc>
          <w:tcPr>
            <w:tcW w:w="900" w:type="pct"/>
            <w:vAlign w:val="center"/>
          </w:tcPr>
          <w:p w14:paraId="2572C8D2">
            <w:pPr>
              <w:spacing w:before="40" w:after="40" w:line="240" w:lineRule="auto"/>
              <w:jc w:val="right"/>
            </w:pPr>
            <w:r>
              <w:rPr>
                <w:rFonts w:ascii="Calibri" w:hAnsi="Calibri" w:eastAsia="黑体"/>
                <w:color w:val="1A1A2E"/>
                <w:sz w:val="18"/>
              </w:rPr>
              <w:t>18</w:t>
            </w:r>
          </w:p>
        </w:tc>
        <w:tc>
          <w:tcPr>
            <w:tcW w:w="900" w:type="pct"/>
            <w:vAlign w:val="center"/>
          </w:tcPr>
          <w:p w14:paraId="3F8ED903">
            <w:pPr>
              <w:spacing w:before="40" w:after="40" w:line="240" w:lineRule="auto"/>
              <w:jc w:val="right"/>
            </w:pPr>
            <w:r>
              <w:rPr>
                <w:rFonts w:ascii="Calibri" w:hAnsi="Calibri" w:eastAsia="黑体"/>
                <w:color w:val="1A1A2E"/>
                <w:sz w:val="18"/>
              </w:rPr>
              <w:t>6.2x</w:t>
            </w:r>
          </w:p>
        </w:tc>
        <w:tc>
          <w:tcPr>
            <w:tcW w:w="900" w:type="pct"/>
            <w:vAlign w:val="center"/>
          </w:tcPr>
          <w:p w14:paraId="66280ED2">
            <w:pPr>
              <w:spacing w:before="40" w:after="40" w:line="240" w:lineRule="auto"/>
              <w:jc w:val="right"/>
            </w:pPr>
            <w:r>
              <w:rPr>
                <w:rFonts w:ascii="Calibri" w:hAnsi="Calibri" w:eastAsia="黑体"/>
                <w:color w:val="1A1A2E"/>
                <w:sz w:val="18"/>
              </w:rPr>
              <w:t>15.2x</w:t>
            </w:r>
          </w:p>
        </w:tc>
        <w:tc>
          <w:tcPr>
            <w:tcW w:w="900" w:type="pct"/>
            <w:vAlign w:val="center"/>
          </w:tcPr>
          <w:p w14:paraId="29CD7A1D">
            <w:pPr>
              <w:spacing w:before="40" w:after="40" w:line="240" w:lineRule="auto"/>
              <w:jc w:val="right"/>
            </w:pPr>
            <w:r>
              <w:rPr>
                <w:rFonts w:ascii="Calibri" w:hAnsi="Calibri" w:eastAsia="黑体"/>
                <w:color w:val="1A1A2E"/>
                <w:sz w:val="18"/>
              </w:rPr>
              <w:t>8.5%</w:t>
            </w:r>
          </w:p>
        </w:tc>
      </w:tr>
      <w:tr w14:paraId="631E04BB">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059DF18C">
            <w:pPr>
              <w:spacing w:before="40" w:after="40" w:line="240" w:lineRule="auto"/>
            </w:pPr>
            <w:r>
              <w:rPr>
                <w:rFonts w:ascii="Calibri" w:hAnsi="Calibri" w:eastAsia="黑体"/>
                <w:color w:val="1A1A2E"/>
                <w:sz w:val="18"/>
              </w:rPr>
              <w:t>SMIC (688981 CH)</w:t>
            </w:r>
          </w:p>
        </w:tc>
        <w:tc>
          <w:tcPr>
            <w:tcW w:w="900" w:type="pct"/>
            <w:vAlign w:val="center"/>
          </w:tcPr>
          <w:p w14:paraId="17483CE9">
            <w:pPr>
              <w:spacing w:before="40" w:after="40" w:line="240" w:lineRule="auto"/>
              <w:jc w:val="right"/>
            </w:pPr>
            <w:r>
              <w:rPr>
                <w:rFonts w:ascii="Calibri" w:hAnsi="Calibri" w:eastAsia="黑体"/>
                <w:color w:val="1A1A2E"/>
                <w:sz w:val="18"/>
              </w:rPr>
              <w:t>45</w:t>
            </w:r>
          </w:p>
        </w:tc>
        <w:tc>
          <w:tcPr>
            <w:tcW w:w="900" w:type="pct"/>
            <w:vAlign w:val="center"/>
          </w:tcPr>
          <w:p w14:paraId="49558133">
            <w:pPr>
              <w:spacing w:before="40" w:after="40" w:line="240" w:lineRule="auto"/>
              <w:jc w:val="right"/>
            </w:pPr>
            <w:r>
              <w:rPr>
                <w:rFonts w:ascii="Calibri" w:hAnsi="Calibri" w:eastAsia="黑体"/>
                <w:color w:val="1A1A2E"/>
                <w:sz w:val="18"/>
              </w:rPr>
              <w:t>10.8x</w:t>
            </w:r>
          </w:p>
        </w:tc>
        <w:tc>
          <w:tcPr>
            <w:tcW w:w="900" w:type="pct"/>
            <w:vAlign w:val="center"/>
          </w:tcPr>
          <w:p w14:paraId="704A5119">
            <w:pPr>
              <w:spacing w:before="40" w:after="40" w:line="240" w:lineRule="auto"/>
              <w:jc w:val="right"/>
            </w:pPr>
            <w:r>
              <w:rPr>
                <w:rFonts w:ascii="Calibri" w:hAnsi="Calibri" w:eastAsia="黑体"/>
                <w:color w:val="1A1A2E"/>
                <w:sz w:val="18"/>
              </w:rPr>
              <w:t>18.5x</w:t>
            </w:r>
          </w:p>
        </w:tc>
        <w:tc>
          <w:tcPr>
            <w:tcW w:w="900" w:type="pct"/>
            <w:vAlign w:val="center"/>
          </w:tcPr>
          <w:p w14:paraId="6E162889">
            <w:pPr>
              <w:spacing w:before="40" w:after="40" w:line="240" w:lineRule="auto"/>
              <w:jc w:val="right"/>
            </w:pPr>
            <w:r>
              <w:rPr>
                <w:rFonts w:ascii="Calibri" w:hAnsi="Calibri" w:eastAsia="黑体"/>
                <w:color w:val="1A1A2E"/>
                <w:sz w:val="18"/>
              </w:rPr>
              <w:t>12.3%</w:t>
            </w:r>
          </w:p>
        </w:tc>
      </w:tr>
      <w:tr w14:paraId="2957934D">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11A8689B">
            <w:pPr>
              <w:spacing w:before="40" w:after="40" w:line="240" w:lineRule="auto"/>
            </w:pPr>
            <w:r>
              <w:rPr>
                <w:rFonts w:ascii="Calibri" w:hAnsi="Calibri" w:eastAsia="黑体"/>
                <w:color w:val="1A1A2E"/>
                <w:sz w:val="18"/>
              </w:rPr>
              <w:t>Intel Foundry</w:t>
            </w:r>
          </w:p>
        </w:tc>
        <w:tc>
          <w:tcPr>
            <w:tcW w:w="900" w:type="pct"/>
            <w:vAlign w:val="center"/>
          </w:tcPr>
          <w:p w14:paraId="04C1C0A7">
            <w:pPr>
              <w:spacing w:before="40" w:after="40" w:line="240" w:lineRule="auto"/>
              <w:jc w:val="right"/>
            </w:pPr>
            <w:r>
              <w:rPr>
                <w:rFonts w:ascii="Calibri" w:hAnsi="Calibri" w:eastAsia="黑体"/>
                <w:color w:val="1A1A2E"/>
                <w:sz w:val="18"/>
              </w:rPr>
              <w:t>35</w:t>
            </w:r>
          </w:p>
        </w:tc>
        <w:tc>
          <w:tcPr>
            <w:tcW w:w="900" w:type="pct"/>
            <w:vAlign w:val="center"/>
          </w:tcPr>
          <w:p w14:paraId="18087EF1">
            <w:pPr>
              <w:spacing w:before="40" w:after="40" w:line="240" w:lineRule="auto"/>
              <w:jc w:val="right"/>
            </w:pPr>
            <w:r>
              <w:rPr>
                <w:rFonts w:ascii="Calibri" w:hAnsi="Calibri" w:eastAsia="黑体"/>
                <w:color w:val="1A1A2E"/>
                <w:sz w:val="18"/>
              </w:rPr>
              <w:t>5.8x</w:t>
            </w:r>
          </w:p>
        </w:tc>
        <w:tc>
          <w:tcPr>
            <w:tcW w:w="900" w:type="pct"/>
            <w:vAlign w:val="center"/>
          </w:tcPr>
          <w:p w14:paraId="18FAA6D7">
            <w:pPr>
              <w:spacing w:before="40" w:after="40" w:line="240" w:lineRule="auto"/>
              <w:jc w:val="right"/>
            </w:pPr>
            <w:r>
              <w:rPr>
                <w:rFonts w:ascii="Calibri" w:hAnsi="Calibri" w:eastAsia="黑体"/>
                <w:color w:val="1A1A2E"/>
                <w:sz w:val="18"/>
              </w:rPr>
              <w:t>NM</w:t>
            </w:r>
          </w:p>
        </w:tc>
        <w:tc>
          <w:tcPr>
            <w:tcW w:w="900" w:type="pct"/>
            <w:vAlign w:val="center"/>
          </w:tcPr>
          <w:p w14:paraId="62DF3DED">
            <w:pPr>
              <w:spacing w:before="40" w:after="40" w:line="240" w:lineRule="auto"/>
              <w:jc w:val="right"/>
            </w:pPr>
            <w:r>
              <w:rPr>
                <w:rFonts w:ascii="Calibri" w:hAnsi="Calibri" w:eastAsia="黑体"/>
                <w:color w:val="1A1A2E"/>
                <w:sz w:val="18"/>
              </w:rPr>
              <w:t>5.2%</w:t>
            </w:r>
          </w:p>
        </w:tc>
      </w:tr>
      <w:tr w14:paraId="02120F2C">
        <w:tblPrEx>
          <w:tblBorders>
            <w:top w:val="single" w:color="E0E0E0" w:sz="12" w:space="0"/>
            <w:left w:val="none" w:color="auto" w:sz="0" w:space="0"/>
            <w:bottom w:val="single" w:color="E0E0E0" w:sz="12" w:space="0"/>
            <w:right w:val="none" w:color="auto" w:sz="0" w:space="0"/>
            <w:insideH w:val="single" w:color="E0E0E0" w:sz="4" w:space="0"/>
            <w:insideV w:val="none" w:color="auto" w:sz="0" w:space="0"/>
          </w:tblBorders>
          <w:tblCellMar>
            <w:top w:w="0" w:type="dxa"/>
            <w:left w:w="10" w:type="dxa"/>
            <w:bottom w:w="0" w:type="dxa"/>
            <w:right w:w="10" w:type="dxa"/>
          </w:tblCellMar>
        </w:tblPrEx>
        <w:tc>
          <w:tcPr>
            <w:tcW w:w="1400" w:type="pct"/>
            <w:vAlign w:val="center"/>
          </w:tcPr>
          <w:p w14:paraId="1FBAC186">
            <w:pPr>
              <w:spacing w:before="40" w:after="40" w:line="240" w:lineRule="auto"/>
            </w:pPr>
            <w:r>
              <w:rPr>
                <w:rFonts w:ascii="Calibri" w:hAnsi="Calibri" w:eastAsia="黑体"/>
                <w:b/>
                <w:color w:val="1A1A2E"/>
                <w:sz w:val="18"/>
              </w:rPr>
              <w:t>Peer Average (ex-TSMC)</w:t>
            </w:r>
          </w:p>
        </w:tc>
        <w:tc>
          <w:tcPr>
            <w:tcW w:w="900" w:type="pct"/>
            <w:vAlign w:val="center"/>
          </w:tcPr>
          <w:p w14:paraId="5A9EEF45">
            <w:pPr>
              <w:spacing w:before="40" w:after="40" w:line="240" w:lineRule="auto"/>
              <w:jc w:val="right"/>
            </w:pPr>
            <w:r>
              <w:rPr>
                <w:rFonts w:ascii="Calibri" w:hAnsi="Calibri" w:eastAsia="黑体"/>
                <w:b/>
                <w:color w:val="1A1A2E"/>
                <w:sz w:val="18"/>
              </w:rPr>
              <w:t>N/A</w:t>
            </w:r>
          </w:p>
        </w:tc>
        <w:tc>
          <w:tcPr>
            <w:tcW w:w="900" w:type="pct"/>
            <w:vAlign w:val="center"/>
          </w:tcPr>
          <w:p w14:paraId="1E4E0FBF">
            <w:pPr>
              <w:spacing w:before="40" w:after="40" w:line="240" w:lineRule="auto"/>
              <w:jc w:val="right"/>
            </w:pPr>
            <w:r>
              <w:rPr>
                <w:rFonts w:ascii="Calibri" w:hAnsi="Calibri" w:eastAsia="黑体"/>
                <w:b/>
                <w:color w:val="1A1A2E"/>
                <w:sz w:val="18"/>
              </w:rPr>
              <w:t>7.8x</w:t>
            </w:r>
          </w:p>
        </w:tc>
        <w:tc>
          <w:tcPr>
            <w:tcW w:w="900" w:type="pct"/>
            <w:vAlign w:val="center"/>
          </w:tcPr>
          <w:p w14:paraId="33BED885">
            <w:pPr>
              <w:spacing w:before="40" w:after="40" w:line="240" w:lineRule="auto"/>
              <w:jc w:val="right"/>
            </w:pPr>
            <w:r>
              <w:rPr>
                <w:rFonts w:ascii="Calibri" w:hAnsi="Calibri" w:eastAsia="黑体"/>
                <w:b/>
                <w:color w:val="1A1A2E"/>
                <w:sz w:val="18"/>
              </w:rPr>
              <w:t>13.1x</w:t>
            </w:r>
          </w:p>
        </w:tc>
        <w:tc>
          <w:tcPr>
            <w:tcW w:w="900" w:type="pct"/>
            <w:vAlign w:val="center"/>
          </w:tcPr>
          <w:p w14:paraId="3B8540C1">
            <w:pPr>
              <w:spacing w:before="40" w:after="40" w:line="240" w:lineRule="auto"/>
              <w:jc w:val="right"/>
            </w:pPr>
            <w:r>
              <w:rPr>
                <w:rFonts w:ascii="Calibri" w:hAnsi="Calibri" w:eastAsia="黑体"/>
                <w:b/>
                <w:color w:val="1A1A2E"/>
                <w:sz w:val="18"/>
              </w:rPr>
              <w:t>10.5%</w:t>
            </w:r>
          </w:p>
        </w:tc>
      </w:tr>
    </w:tbl>
    <w:p w14:paraId="09DCC369">
      <w:pPr>
        <w:spacing w:before="80" w:after="120" w:line="276" w:lineRule="auto"/>
        <w:jc w:val="both"/>
      </w:pPr>
      <w:r>
        <w:rPr>
          <w:rFonts w:ascii="Calibri" w:hAnsi="Calibri" w:eastAsia="黑体"/>
          <w:color w:val="1A1A2E"/>
          <w:sz w:val="21"/>
        </w:rPr>
        <w:t>At our target price of NT$1,280, TSMC would trade at 17.0x FY2027E EPS, a 30% premium to the peer group average of 13.1x but justified by TSMC's: (1) 2-3 generation technology leadership; (2) 15%+ ROIC vs. 8-10% for peers; and (3) 25%+ EPS CAGR vs. 10-15% for peers.</w:t>
      </w:r>
    </w:p>
    <w:p w14:paraId="75413E01">
      <w:r>
        <w:br w:type="page"/>
      </w:r>
    </w:p>
    <w:p w14:paraId="5CA9ED92">
      <w:pPr>
        <w:keepNext/>
        <w:spacing w:before="360" w:line="240" w:lineRule="auto"/>
        <w:outlineLvl w:val="0"/>
        <w:rPr>
          <w:rFonts w:hint="eastAsia"/>
        </w:rPr>
      </w:pPr>
      <w:r>
        <w:rPr>
          <w:rFonts w:ascii="Calibri" w:hAnsi="Calibri" w:eastAsia="黑体"/>
          <w:b/>
          <w:color w:val="3D405B"/>
          <w:sz w:val="32"/>
        </w:rPr>
        <w:t>7. Key Risks</w:t>
      </w:r>
    </w:p>
    <w:p w14:paraId="7E0BE8A1">
      <w:pPr>
        <w:spacing w:before="160" w:after="80" w:line="264" w:lineRule="auto"/>
        <w:ind w:left="360"/>
      </w:pPr>
      <w:r>
        <w:rPr>
          <w:rFonts w:ascii="Calibri" w:hAnsi="Calibri" w:eastAsia="黑体"/>
          <w:b/>
          <w:color w:val="1A1A2E"/>
          <w:sz w:val="21"/>
        </w:rPr>
        <w:t>AI Capex Cycle Peak Risk</w:t>
      </w:r>
      <w:r>
        <w:rPr>
          <w:rFonts w:ascii="Calibri" w:hAnsi="Calibri" w:eastAsia="黑体"/>
          <w:color w:val="81B29A"/>
          <w:sz w:val="20"/>
        </w:rPr>
        <w:t>(Medium-High (25% probability))</w:t>
      </w:r>
      <w:r>
        <w:rPr>
          <w:rFonts w:ascii="Calibri" w:hAnsi="Calibri" w:eastAsia="黑体"/>
          <w:color w:val="1A1A2E"/>
          <w:sz w:val="20"/>
        </w:rPr>
        <w:t>Hyperscaler AI infrastructure spending could decelerate faster than our Base case assumes. If AI accelerator orders plateau in FY2026E (vs. our FY2027E peak assumption), HPC growth could slow to 15% in FY2027E, reducing FY2028E revenue by NT$1.1B. Mitigation: Diversified customer base across hyperscalers, custom ASICs, and automotive provides some cushion. Impact: NT$150-200 reduction in FY2028E EPS.</w:t>
      </w:r>
    </w:p>
    <w:p w14:paraId="29E86C97">
      <w:pPr>
        <w:spacing w:before="160" w:after="80" w:line="264" w:lineRule="auto"/>
        <w:ind w:left="360"/>
      </w:pPr>
      <w:r>
        <w:rPr>
          <w:rFonts w:ascii="Calibri" w:hAnsi="Calibri" w:eastAsia="黑体"/>
          <w:b/>
          <w:color w:val="1A1A2E"/>
          <w:sz w:val="21"/>
        </w:rPr>
        <w:t>Advanced Node Competition</w:t>
      </w:r>
      <w:r>
        <w:rPr>
          <w:rFonts w:ascii="Calibri" w:hAnsi="Calibri" w:eastAsia="黑体"/>
          <w:color w:val="81B29A"/>
          <w:sz w:val="20"/>
        </w:rPr>
        <w:t>(Medium (15-20% probability))</w:t>
      </w:r>
      <w:r>
        <w:rPr>
          <w:rFonts w:ascii="Calibri" w:hAnsi="Calibri" w:eastAsia="黑体"/>
          <w:color w:val="1A1A2E"/>
          <w:sz w:val="20"/>
        </w:rPr>
        <w:t>Samsung's 2nm yield improvements or SMIC's 7nm capacity additions could pressure TSMC's pricing power and market share. Samsung has publicly targeting 60%+ 2nm yield by FY2027E. SMIC's 7nm progress is constrained by ASML export controls but remains a long-term risk. Impact: A 5% ASP decline would compress FY2027E gross margin by 150bps, reducing EPS by NT$12.</w:t>
      </w:r>
    </w:p>
    <w:p w14:paraId="549A9952">
      <w:pPr>
        <w:spacing w:before="160" w:after="80" w:line="264" w:lineRule="auto"/>
        <w:ind w:left="360"/>
      </w:pPr>
      <w:r>
        <w:rPr>
          <w:rFonts w:ascii="Calibri" w:hAnsi="Calibri" w:eastAsia="黑体"/>
          <w:b/>
          <w:color w:val="1A1A2E"/>
          <w:sz w:val="21"/>
        </w:rPr>
        <w:t>Technology Transition Risk (N2 Ramp)</w:t>
      </w:r>
      <w:r>
        <w:rPr>
          <w:rFonts w:ascii="Calibri" w:hAnsi="Calibri" w:eastAsia="黑体"/>
          <w:color w:val="81B29A"/>
          <w:sz w:val="20"/>
        </w:rPr>
        <w:t>(Medium (20% probability))</w:t>
      </w:r>
      <w:r>
        <w:rPr>
          <w:rFonts w:ascii="Calibri" w:hAnsi="Calibri" w:eastAsia="黑体"/>
          <w:color w:val="1A1A2E"/>
          <w:sz w:val="20"/>
        </w:rPr>
        <w:t>N2 (2nm) node ramp carries execution risk. Initial yields typically run 20-30% below steady-state, and the transition involves new materials (nanosheet transistors, backside power delivery). A 6-month N2 delay would shift NT$300B+ FY2027E revenue to FY2028E, reducing near-term EPS by NT$8-10. Mitigation: TSMC's N3 ramp was highly successful, providing confidence in execution capability. Impact: NT$80-100 reduction in FY2027E EPS.</w:t>
      </w:r>
    </w:p>
    <w:p w14:paraId="49F8CF08">
      <w:pPr>
        <w:spacing w:before="160" w:after="80" w:line="264" w:lineRule="auto"/>
        <w:ind w:left="360"/>
      </w:pPr>
      <w:r>
        <w:rPr>
          <w:rFonts w:ascii="Calibri" w:hAnsi="Calibri" w:eastAsia="黑体"/>
          <w:b/>
          <w:color w:val="1A1A2E"/>
          <w:sz w:val="21"/>
        </w:rPr>
        <w:t>Key Customer Concentration</w:t>
      </w:r>
      <w:r>
        <w:rPr>
          <w:rFonts w:ascii="Calibri" w:hAnsi="Calibri" w:eastAsia="黑体"/>
          <w:color w:val="81B29A"/>
          <w:sz w:val="20"/>
        </w:rPr>
        <w:t>(Low-Medium (15% probability))</w:t>
      </w:r>
      <w:r>
        <w:rPr>
          <w:rFonts w:ascii="Calibri" w:hAnsi="Calibri" w:eastAsia="黑体"/>
          <w:color w:val="1A1A2E"/>
          <w:sz w:val="20"/>
        </w:rPr>
        <w:t>Apple accounts for approximately 20-25% of TSMC revenue. A significant Apple order cancellation or market share loss (e.g., to Samsung's Exynos) would materially impact TSMC. Mitigation: Growing HPC/custom silicon revenue diversifies customer mix. Apple's own profitability depends on TSMC's leading-edge capability, aligning incentives. Impact: NT$50-80 reduction in FY2027E EPS for a 10% Apple revenue shortfall.</w:t>
      </w:r>
    </w:p>
    <w:p w14:paraId="692B437D">
      <w:pPr>
        <w:spacing w:before="160" w:after="80" w:line="264" w:lineRule="auto"/>
        <w:ind w:left="360"/>
      </w:pPr>
      <w:r>
        <w:rPr>
          <w:rFonts w:ascii="Calibri" w:hAnsi="Calibri" w:eastAsia="黑体"/>
          <w:b/>
          <w:color w:val="1A1A2E"/>
          <w:sz w:val="21"/>
        </w:rPr>
        <w:t>Currency Risk</w:t>
      </w:r>
      <w:r>
        <w:rPr>
          <w:rFonts w:ascii="Calibri" w:hAnsi="Calibri" w:eastAsia="黑体"/>
          <w:color w:val="81B29A"/>
          <w:sz w:val="20"/>
        </w:rPr>
        <w:t>(Low (10% probability))</w:t>
      </w:r>
      <w:r>
        <w:rPr>
          <w:rFonts w:ascii="Calibri" w:hAnsi="Calibri" w:eastAsia="黑体"/>
          <w:color w:val="1A1A2E"/>
          <w:sz w:val="20"/>
        </w:rPr>
        <w:t>TSMC reports in NT$ but earns primarily in USD. A 10% appreciation of NT$ vs. USD would reduce FY2026E EPS by approximately NT$6 (based on USD/NTD hedge ratios). Mitigation: TSMC maintains natural hedges and partial forward contracts. Impact: NT$50-80 reduction in FY2027E EPS for a sustained 10% NTD appreciation.</w:t>
      </w:r>
    </w:p>
    <w:p w14:paraId="3BC90D98">
      <w:pPr>
        <w:spacing w:before="600" w:after="0" w:line="240" w:lineRule="auto"/>
      </w:pPr>
    </w:p>
    <w:p w14:paraId="2B1B4B60">
      <w:pPr>
        <w:jc w:val="center"/>
      </w:pPr>
      <w:r>
        <w:rPr>
          <w:rFonts w:ascii="Calibri" w:hAnsi="Calibri" w:eastAsia="黑体"/>
          <w:color w:val="A8A8A8"/>
          <w:sz w:val="16"/>
        </w:rPr>
        <w:t>DISCLAIMER: This report is for informational purposes only and does not constitute investment advice. Past performance is not indicative of future results. Investing in securities involves risk. Please consult your financial advisor before making investment decisions.</w:t>
      </w:r>
    </w:p>
    <w:p w14:paraId="51275C78">
      <w:pPr>
        <w:jc w:val="center"/>
      </w:pPr>
      <w:r>
        <w:rPr>
          <w:color w:val="808080"/>
          <w:sz w:val="16"/>
        </w:rPr>
        <w:t>由Minimax Agent AI生成</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F9"/>
    <w:rsid w:val="00305538"/>
    <w:rsid w:val="00BA4B44"/>
    <w:rsid w:val="00E113F9"/>
    <w:rsid w:val="00FE595F"/>
    <w:rsid w:val="2C6E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2245</Words>
  <Characters>12803</Characters>
  <Lines>106</Lines>
  <Paragraphs>30</Paragraphs>
  <TotalTime>11</TotalTime>
  <ScaleCrop>false</ScaleCrop>
  <LinksUpToDate>false</LinksUpToDate>
  <CharactersWithSpaces>15018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2026-03-18T04:36:00Z</dcterms:created>
  <dc:creator>admin</dc:creator>
  <cp:lastModifiedBy>WPS_1766492753</cp:lastModifiedBy>
  <dcterms:modified xsi:type="dcterms:W3CDTF">2026-03-18T04:58:54Z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80E369FD1FD7428B9102CBAFAF28A819_13</vt:lpwstr>
  </property>
</Properties>
</file>